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DD6BF">
      <w:pPr>
        <w:jc w:val="center"/>
        <w:rPr>
          <w:rFonts w:hint="default" w:cs="宋体" w:asciiTheme="majorEastAsia" w:hAnsiTheme="majorEastAsia" w:eastAsiaTheme="majorEastAsia"/>
          <w:color w:val="000000" w:themeColor="text1"/>
          <w:kern w:val="0"/>
          <w:sz w:val="44"/>
          <w:szCs w:val="44"/>
          <w:lang w:val="en-US"/>
          <w14:textFill>
            <w14:solidFill>
              <w14:schemeClr w14:val="tx1"/>
            </w14:solidFill>
          </w14:textFill>
        </w:rPr>
      </w:pPr>
      <w:bookmarkStart w:id="0" w:name="OLE_LINK2"/>
      <w:bookmarkStart w:id="1" w:name="OLE_LINK1"/>
      <w:r>
        <w:rPr>
          <w:rFonts w:hint="eastAsia" w:cs="宋体" w:asciiTheme="majorEastAsia" w:hAnsiTheme="majorEastAsia" w:eastAsiaTheme="majorEastAsia"/>
          <w:color w:val="000000" w:themeColor="text1"/>
          <w:kern w:val="0"/>
          <w:sz w:val="44"/>
          <w:szCs w:val="44"/>
          <w:u w:val="none"/>
          <w:lang w:val="en-US" w:eastAsia="zh-CN"/>
          <w14:textFill>
            <w14:solidFill>
              <w14:schemeClr w14:val="tx1"/>
            </w14:solidFill>
          </w14:textFill>
        </w:rPr>
        <w:t>合肥新站高新区三十头社区李湾居经济合作社TDLZ-2026-14地块土地经营权流转（二次）</w:t>
      </w:r>
      <w:r>
        <w:rPr>
          <w:rFonts w:hint="eastAsia" w:cs="宋体" w:asciiTheme="majorEastAsia" w:hAnsiTheme="majorEastAsia" w:eastAsiaTheme="majorEastAsia"/>
          <w:color w:val="000000" w:themeColor="text1"/>
          <w:kern w:val="0"/>
          <w:sz w:val="44"/>
          <w:szCs w:val="44"/>
          <w:lang w:val="en-US" w:eastAsia="zh-CN"/>
          <w14:textFill>
            <w14:solidFill>
              <w14:schemeClr w14:val="tx1"/>
            </w14:solidFill>
          </w14:textFill>
        </w:rPr>
        <w:t>公告</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778"/>
        <w:gridCol w:w="1225"/>
        <w:gridCol w:w="1293"/>
        <w:gridCol w:w="1190"/>
        <w:gridCol w:w="1510"/>
        <w:gridCol w:w="1481"/>
      </w:tblGrid>
      <w:tr w14:paraId="1CF9C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1486" w:type="dxa"/>
            <w:shd w:val="clear" w:color="auto" w:fill="auto"/>
            <w:vAlign w:val="center"/>
          </w:tcPr>
          <w:p w14:paraId="08726FF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项目名称</w:t>
            </w:r>
          </w:p>
        </w:tc>
        <w:tc>
          <w:tcPr>
            <w:tcW w:w="8477" w:type="dxa"/>
            <w:gridSpan w:val="6"/>
            <w:shd w:val="clear" w:color="auto" w:fill="auto"/>
            <w:vAlign w:val="center"/>
          </w:tcPr>
          <w:p w14:paraId="14B6A9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合肥新站高新区三十头社区李湾居经济合作社TDLZ-2026-14地块土地经营权流转（二次）</w:t>
            </w:r>
          </w:p>
        </w:tc>
      </w:tr>
      <w:tr w14:paraId="1652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486" w:type="dxa"/>
            <w:shd w:val="clear" w:color="auto" w:fill="auto"/>
            <w:vAlign w:val="center"/>
          </w:tcPr>
          <w:p w14:paraId="34C4E4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项目编号</w:t>
            </w:r>
          </w:p>
        </w:tc>
        <w:tc>
          <w:tcPr>
            <w:tcW w:w="8477" w:type="dxa"/>
            <w:gridSpan w:val="6"/>
            <w:shd w:val="clear" w:color="auto" w:fill="auto"/>
            <w:vAlign w:val="center"/>
          </w:tcPr>
          <w:p w14:paraId="2E31745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2026BXXNJ50031</w:t>
            </w:r>
          </w:p>
        </w:tc>
      </w:tr>
      <w:tr w14:paraId="1909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53CEB62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w:t>
            </w:r>
          </w:p>
        </w:tc>
        <w:tc>
          <w:tcPr>
            <w:tcW w:w="8477" w:type="dxa"/>
            <w:gridSpan w:val="6"/>
            <w:shd w:val="clear" w:color="auto" w:fill="auto"/>
            <w:vAlign w:val="center"/>
          </w:tcPr>
          <w:p w14:paraId="5C039FF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合肥新站高新区三十头社区卫岗居经济合作社</w:t>
            </w:r>
          </w:p>
        </w:tc>
      </w:tr>
      <w:tr w14:paraId="61BC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34EF35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w:t>
            </w:r>
          </w:p>
        </w:tc>
        <w:tc>
          <w:tcPr>
            <w:tcW w:w="8477" w:type="dxa"/>
            <w:gridSpan w:val="6"/>
            <w:shd w:val="clear" w:color="auto" w:fill="auto"/>
            <w:vAlign w:val="center"/>
          </w:tcPr>
          <w:p w14:paraId="2D17A2E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委托方承诺本次</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行为已履行了必要的审批程序</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保证本公告的内容不存在任何重大遗漏、虚假陈述或严重误导，</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同时</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对其内容的真实性、完整性和准确性负责。</w:t>
            </w:r>
          </w:p>
        </w:tc>
      </w:tr>
      <w:tr w14:paraId="01D7B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0B786A8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公告、竞价期限</w:t>
            </w:r>
          </w:p>
        </w:tc>
        <w:tc>
          <w:tcPr>
            <w:tcW w:w="8477" w:type="dxa"/>
            <w:gridSpan w:val="6"/>
            <w:shd w:val="clear" w:color="auto" w:fill="auto"/>
            <w:vAlign w:val="center"/>
          </w:tcPr>
          <w:p w14:paraId="1735ED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1.公告期：20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cs="宋体"/>
                <w:color w:val="000000" w:themeColor="text1"/>
                <w:kern w:val="0"/>
                <w:sz w:val="24"/>
                <w:szCs w:val="24"/>
                <w:highlight w:val="none"/>
                <w:lang w:val="en-US" w:eastAsia="zh-CN"/>
                <w14:textFill>
                  <w14:solidFill>
                    <w14:schemeClr w14:val="tx1"/>
                  </w14:solidFill>
                </w14:textFill>
              </w:rPr>
              <w:t>日9:00始至20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19</w:t>
            </w:r>
            <w:r>
              <w:rPr>
                <w:rFonts w:hint="eastAsia" w:ascii="宋体" w:hAnsi="宋体" w:cs="宋体"/>
                <w:color w:val="000000" w:themeColor="text1"/>
                <w:kern w:val="0"/>
                <w:sz w:val="24"/>
                <w:szCs w:val="24"/>
                <w:highlight w:val="none"/>
                <w:lang w:val="en-US" w:eastAsia="zh-CN"/>
                <w14:textFill>
                  <w14:solidFill>
                    <w14:schemeClr w14:val="tx1"/>
                  </w14:solidFill>
                </w14:textFill>
              </w:rPr>
              <w:t>日17:00止。</w:t>
            </w:r>
          </w:p>
          <w:p w14:paraId="236C349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2.网络一次性报价期：20</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26</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9</w:t>
            </w:r>
            <w:r>
              <w:rPr>
                <w:rFonts w:hint="eastAsia" w:ascii="宋体" w:hAnsi="宋体" w:cs="宋体"/>
                <w:color w:val="000000" w:themeColor="text1"/>
                <w:kern w:val="0"/>
                <w:sz w:val="24"/>
                <w:szCs w:val="24"/>
                <w:highlight w:val="none"/>
                <w:lang w:val="en-US" w:eastAsia="zh-CN"/>
                <w14:textFill>
                  <w14:solidFill>
                    <w14:schemeClr w14:val="tx1"/>
                  </w14:solidFill>
                </w14:textFill>
              </w:rPr>
              <w:t>月</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20</w:t>
            </w:r>
            <w:r>
              <w:rPr>
                <w:rFonts w:hint="eastAsia" w:ascii="宋体" w:hAnsi="宋体" w:cs="宋体"/>
                <w:color w:val="000000" w:themeColor="text1"/>
                <w:kern w:val="0"/>
                <w:sz w:val="24"/>
                <w:szCs w:val="24"/>
                <w:highlight w:val="none"/>
                <w:lang w:val="en-US" w:eastAsia="zh-CN"/>
                <w14:textFill>
                  <w14:solidFill>
                    <w14:schemeClr w14:val="tx1"/>
                  </w14:solidFill>
                </w14:textFill>
              </w:rPr>
              <w:t>日</w:t>
            </w:r>
            <w:r>
              <w:rPr>
                <w:rFonts w:hint="eastAsia" w:ascii="宋体" w:hAnsi="宋体" w:eastAsia="宋体" w:cs="宋体"/>
                <w:i w:val="0"/>
                <w:iCs w:val="0"/>
                <w:caps w:val="0"/>
                <w:color w:val="000000" w:themeColor="text1"/>
                <w:spacing w:val="0"/>
                <w:sz w:val="24"/>
                <w:szCs w:val="24"/>
                <w:highlight w:val="none"/>
                <w:shd w:val="clear" w:fill="FFFFFF"/>
                <w14:textFill>
                  <w14:solidFill>
                    <w14:schemeClr w14:val="tx1"/>
                  </w14:solidFill>
                </w14:textFill>
              </w:rPr>
              <w:t>9:00至10:30止</w:t>
            </w:r>
            <w:r>
              <w:rPr>
                <w:rFonts w:hint="eastAsia" w:ascii="宋体" w:hAnsi="宋体" w:eastAsia="宋体" w:cs="宋体"/>
                <w:i w:val="0"/>
                <w:iCs w:val="0"/>
                <w:caps w:val="0"/>
                <w:color w:val="000000" w:themeColor="text1"/>
                <w:spacing w:val="0"/>
                <w:sz w:val="24"/>
                <w:szCs w:val="24"/>
                <w:highlight w:val="none"/>
                <w:shd w:val="clear" w:fill="FFFFFF"/>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网络一次性报价期截止后立即进入优先权行使期，优先权行使期截止时间至</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26</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年</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9</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月</w:t>
            </w:r>
            <w:r>
              <w:rPr>
                <w:rFonts w:hint="eastAsia" w:asciiTheme="minorEastAsia" w:hAnsiTheme="minorEastAsia" w:eastAsiaTheme="minorEastAsia"/>
                <w:b w:val="0"/>
                <w:bCs w:val="0"/>
                <w:color w:val="000000" w:themeColor="text1"/>
                <w:sz w:val="24"/>
                <w:szCs w:val="24"/>
                <w:highlight w:val="none"/>
                <w:u w:val="single"/>
                <w:lang w:val="en-US" w:eastAsia="zh-CN"/>
                <w14:textFill>
                  <w14:solidFill>
                    <w14:schemeClr w14:val="tx1"/>
                  </w14:solidFill>
                </w14:textFill>
              </w:rPr>
              <w:t>20</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日17</w:t>
            </w:r>
            <w:r>
              <w:rPr>
                <w:rFonts w:hint="eastAsia" w:asciiTheme="minorEastAsia" w:hAnsiTheme="minorEastAsia" w:eastAsiaTheme="minorEastAsia"/>
                <w:b w:val="0"/>
                <w:bCs w:val="0"/>
                <w:color w:val="000000" w:themeColor="text1"/>
                <w:sz w:val="24"/>
                <w:szCs w:val="24"/>
                <w:highlight w:val="none"/>
                <w:lang w:val="en-US" w:eastAsia="zh-CN"/>
                <w14:textFill>
                  <w14:solidFill>
                    <w14:schemeClr w14:val="tx1"/>
                  </w14:solidFill>
                </w14:textFill>
              </w:rPr>
              <w:t>:</w:t>
            </w:r>
            <w:r>
              <w:rPr>
                <w:rFonts w:hint="eastAsia" w:asciiTheme="minorEastAsia" w:hAnsiTheme="minorEastAsia" w:eastAsiaTheme="minorEastAsia"/>
                <w:b w:val="0"/>
                <w:bCs w:val="0"/>
                <w:color w:val="000000" w:themeColor="text1"/>
                <w:sz w:val="24"/>
                <w:szCs w:val="24"/>
                <w:highlight w:val="none"/>
                <w14:textFill>
                  <w14:solidFill>
                    <w14:schemeClr w14:val="tx1"/>
                  </w14:solidFill>
                </w14:textFill>
              </w:rPr>
              <w:t>00止</w:t>
            </w:r>
            <w:r>
              <w:rPr>
                <w:rFonts w:hint="eastAsia" w:asciiTheme="minorEastAsia" w:hAnsiTheme="minorEastAsia" w:eastAsiaTheme="minorEastAsia"/>
                <w:b w:val="0"/>
                <w:bCs w:val="0"/>
                <w:color w:val="000000" w:themeColor="text1"/>
                <w:sz w:val="24"/>
                <w:szCs w:val="24"/>
                <w:highlight w:val="none"/>
                <w:lang w:eastAsia="zh-CN"/>
                <w14:textFill>
                  <w14:solidFill>
                    <w14:schemeClr w14:val="tx1"/>
                  </w14:solidFill>
                </w14:textFill>
              </w:rPr>
              <w:t>）</w:t>
            </w:r>
            <w:r>
              <w:rPr>
                <w:rFonts w:hint="eastAsia" w:asciiTheme="minorEastAsia" w:hAnsiTheme="minorEastAsia" w:eastAsiaTheme="minorEastAsia"/>
                <w:b w:val="0"/>
                <w:bCs w:val="0"/>
                <w:color w:val="000000" w:themeColor="text1"/>
                <w:szCs w:val="21"/>
                <w:highlight w:val="none"/>
                <w14:textFill>
                  <w14:solidFill>
                    <w14:schemeClr w14:val="tx1"/>
                  </w14:solidFill>
                </w14:textFill>
              </w:rPr>
              <w:t>。</w:t>
            </w:r>
          </w:p>
        </w:tc>
      </w:tr>
      <w:tr w14:paraId="4788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743F8E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一、流转标的基本情况</w:t>
            </w:r>
          </w:p>
        </w:tc>
      </w:tr>
      <w:tr w14:paraId="2C524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4030191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流转标的</w:t>
            </w:r>
          </w:p>
        </w:tc>
        <w:tc>
          <w:tcPr>
            <w:tcW w:w="1778" w:type="dxa"/>
            <w:shd w:val="clear" w:color="auto" w:fill="auto"/>
            <w:vAlign w:val="center"/>
          </w:tcPr>
          <w:p w14:paraId="58FD827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土地位置</w:t>
            </w:r>
          </w:p>
        </w:tc>
        <w:tc>
          <w:tcPr>
            <w:tcW w:w="1225" w:type="dxa"/>
            <w:shd w:val="clear" w:color="auto" w:fill="auto"/>
            <w:vAlign w:val="center"/>
          </w:tcPr>
          <w:p w14:paraId="7F58C41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面积</w:t>
            </w:r>
            <w:r>
              <w:rPr>
                <w:rFonts w:hint="eastAsia" w:ascii="宋体" w:hAnsi="宋体" w:cs="宋体"/>
                <w:color w:val="000000" w:themeColor="text1"/>
                <w:kern w:val="0"/>
                <w:sz w:val="24"/>
                <w:szCs w:val="24"/>
                <w:highlight w:val="none"/>
                <w:lang w:eastAsia="zh-CN"/>
                <w14:textFill>
                  <w14:solidFill>
                    <w14:schemeClr w14:val="tx1"/>
                  </w14:solidFill>
                </w14:textFill>
              </w:rPr>
              <w:t>（亩）</w:t>
            </w:r>
          </w:p>
        </w:tc>
        <w:tc>
          <w:tcPr>
            <w:tcW w:w="1293" w:type="dxa"/>
            <w:shd w:val="clear" w:color="auto" w:fill="auto"/>
            <w:vAlign w:val="center"/>
          </w:tcPr>
          <w:p w14:paraId="1F00FF9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用途</w:t>
            </w:r>
          </w:p>
        </w:tc>
        <w:tc>
          <w:tcPr>
            <w:tcW w:w="1190" w:type="dxa"/>
            <w:shd w:val="clear" w:color="auto" w:fill="auto"/>
            <w:vAlign w:val="center"/>
          </w:tcPr>
          <w:p w14:paraId="1001F18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流转</w:t>
            </w:r>
            <w:r>
              <w:rPr>
                <w:rFonts w:hint="eastAsia" w:ascii="宋体" w:hAnsi="宋体" w:cs="宋体"/>
                <w:color w:val="000000" w:themeColor="text1"/>
                <w:kern w:val="0"/>
                <w:sz w:val="24"/>
                <w:szCs w:val="24"/>
                <w:highlight w:val="none"/>
                <w:lang w:eastAsia="zh-CN"/>
                <w14:textFill>
                  <w14:solidFill>
                    <w14:schemeClr w14:val="tx1"/>
                  </w14:solidFill>
                </w14:textFill>
              </w:rPr>
              <w:t>期限（</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cs="宋体"/>
                <w:color w:val="000000" w:themeColor="text1"/>
                <w:kern w:val="0"/>
                <w:sz w:val="24"/>
                <w:szCs w:val="24"/>
                <w:highlight w:val="none"/>
                <w:lang w:eastAsia="zh-CN"/>
                <w14:textFill>
                  <w14:solidFill>
                    <w14:schemeClr w14:val="tx1"/>
                  </w14:solidFill>
                </w14:textFill>
              </w:rPr>
              <w:t>）</w:t>
            </w:r>
          </w:p>
        </w:tc>
        <w:tc>
          <w:tcPr>
            <w:tcW w:w="1510" w:type="dxa"/>
            <w:shd w:val="clear" w:color="auto" w:fill="auto"/>
            <w:vAlign w:val="center"/>
          </w:tcPr>
          <w:p w14:paraId="280D8D0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流转底价</w:t>
            </w:r>
          </w:p>
          <w:p w14:paraId="4A74A970">
            <w:pPr>
              <w:pStyle w:val="11"/>
              <w:ind w:left="0" w:leftChars="0" w:firstLine="0" w:firstLineChars="0"/>
              <w:jc w:val="center"/>
              <w:rPr>
                <w:rFonts w:hint="eastAsia" w:eastAsia="宋体"/>
                <w:color w:val="000000" w:themeColor="text1"/>
                <w:highlight w:val="non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元/亩/年</w:t>
            </w:r>
            <w:r>
              <w:rPr>
                <w:rFonts w:hint="eastAsia" w:ascii="宋体" w:hAnsi="宋体" w:cs="宋体"/>
                <w:color w:val="000000" w:themeColor="text1"/>
                <w:sz w:val="24"/>
                <w:szCs w:val="24"/>
                <w:highlight w:val="none"/>
                <w:lang w:eastAsia="zh-CN"/>
                <w14:textFill>
                  <w14:solidFill>
                    <w14:schemeClr w14:val="tx1"/>
                  </w14:solidFill>
                </w14:textFill>
              </w:rPr>
              <w:t>）</w:t>
            </w:r>
          </w:p>
        </w:tc>
        <w:tc>
          <w:tcPr>
            <w:tcW w:w="1481" w:type="dxa"/>
            <w:shd w:val="clear" w:color="auto" w:fill="auto"/>
            <w:vAlign w:val="center"/>
          </w:tcPr>
          <w:p w14:paraId="46DC4F9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交易保证金</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cs="宋体"/>
                <w:color w:val="000000" w:themeColor="text1"/>
                <w:kern w:val="0"/>
                <w:sz w:val="24"/>
                <w:szCs w:val="24"/>
                <w:highlight w:val="none"/>
                <w:lang w:val="en-US" w:eastAsia="zh-CN"/>
                <w14:textFill>
                  <w14:solidFill>
                    <w14:schemeClr w14:val="tx1"/>
                  </w14:solidFill>
                </w14:textFill>
              </w:rPr>
              <w:t>万元</w:t>
            </w:r>
            <w:r>
              <w:rPr>
                <w:rFonts w:hint="eastAsia" w:ascii="宋体" w:hAnsi="宋体" w:cs="宋体"/>
                <w:color w:val="000000" w:themeColor="text1"/>
                <w:kern w:val="0"/>
                <w:sz w:val="24"/>
                <w:szCs w:val="24"/>
                <w:highlight w:val="none"/>
                <w:lang w:eastAsia="zh-CN"/>
                <w14:textFill>
                  <w14:solidFill>
                    <w14:schemeClr w14:val="tx1"/>
                  </w14:solidFill>
                </w14:textFill>
              </w:rPr>
              <w:t>）</w:t>
            </w:r>
          </w:p>
        </w:tc>
      </w:tr>
      <w:tr w14:paraId="364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486" w:type="dxa"/>
            <w:shd w:val="clear" w:color="auto" w:fill="auto"/>
            <w:vAlign w:val="center"/>
          </w:tcPr>
          <w:p w14:paraId="6D8B6E3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cs="宋体"/>
                <w:kern w:val="0"/>
                <w:sz w:val="24"/>
                <w:szCs w:val="24"/>
                <w:highlight w:val="none"/>
                <w:lang w:val="en-US" w:eastAsia="zh-CN"/>
              </w:rPr>
              <w:t>新站高新区三十头社区李湾居经济合作社TDLZ-2026-14地块</w:t>
            </w:r>
          </w:p>
        </w:tc>
        <w:tc>
          <w:tcPr>
            <w:tcW w:w="1778" w:type="dxa"/>
            <w:shd w:val="clear" w:color="auto" w:fill="auto"/>
            <w:vAlign w:val="center"/>
          </w:tcPr>
          <w:p w14:paraId="0970C6E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东：</w:t>
            </w:r>
            <w:r>
              <w:rPr>
                <w:rFonts w:hint="eastAsia" w:ascii="宋体" w:hAnsi="宋体" w:cs="宋体"/>
                <w:kern w:val="0"/>
                <w:sz w:val="24"/>
                <w:szCs w:val="24"/>
                <w:highlight w:val="none"/>
                <w:lang w:val="en-US" w:eastAsia="zh-CN"/>
              </w:rPr>
              <w:t>四十头社居委</w:t>
            </w:r>
          </w:p>
          <w:p w14:paraId="22EF71E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西：</w:t>
            </w:r>
            <w:r>
              <w:rPr>
                <w:rFonts w:hint="eastAsia" w:ascii="宋体" w:hAnsi="宋体" w:cs="宋体"/>
                <w:kern w:val="0"/>
                <w:sz w:val="24"/>
                <w:szCs w:val="24"/>
                <w:highlight w:val="none"/>
                <w:lang w:val="en-US" w:eastAsia="zh-CN"/>
              </w:rPr>
              <w:t>双墩镇大陆村</w:t>
            </w:r>
          </w:p>
          <w:p w14:paraId="0EC0B69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南：</w:t>
            </w:r>
            <w:r>
              <w:rPr>
                <w:rFonts w:hint="eastAsia" w:ascii="宋体" w:hAnsi="宋体" w:cs="宋体"/>
                <w:kern w:val="0"/>
                <w:sz w:val="24"/>
                <w:szCs w:val="24"/>
                <w:highlight w:val="none"/>
                <w:lang w:val="en-US" w:eastAsia="zh-CN"/>
              </w:rPr>
              <w:t>三十头社居委</w:t>
            </w:r>
          </w:p>
          <w:p w14:paraId="302E2FE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kern w:val="0"/>
                <w:sz w:val="24"/>
                <w:szCs w:val="24"/>
                <w:highlight w:val="none"/>
                <w:lang w:val="en-US" w:eastAsia="zh-CN"/>
              </w:rPr>
              <w:t>北：</w:t>
            </w:r>
            <w:r>
              <w:rPr>
                <w:rFonts w:hint="eastAsia" w:ascii="宋体" w:hAnsi="宋体" w:cs="宋体"/>
                <w:kern w:val="0"/>
                <w:sz w:val="24"/>
                <w:szCs w:val="24"/>
                <w:highlight w:val="none"/>
                <w:lang w:val="en-US" w:eastAsia="zh-CN"/>
              </w:rPr>
              <w:t>范冲社居委</w:t>
            </w:r>
            <w:r>
              <w:rPr>
                <w:rFonts w:hint="eastAsia"/>
                <w:highlight w:val="none"/>
                <w:lang w:val="en-US" w:eastAsia="zh-CN"/>
              </w:rPr>
              <w:br w:type="textWrapping"/>
            </w:r>
          </w:p>
        </w:tc>
        <w:tc>
          <w:tcPr>
            <w:tcW w:w="1225" w:type="dxa"/>
            <w:shd w:val="clear" w:color="auto" w:fill="auto"/>
            <w:vAlign w:val="center"/>
          </w:tcPr>
          <w:p w14:paraId="7126626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kern w:val="0"/>
                <w:sz w:val="24"/>
                <w:szCs w:val="24"/>
                <w:highlight w:val="none"/>
              </w:rPr>
              <w:t>约</w:t>
            </w:r>
            <w:r>
              <w:rPr>
                <w:rFonts w:hint="eastAsia" w:ascii="宋体" w:hAnsi="宋体" w:cs="宋体"/>
                <w:kern w:val="0"/>
                <w:sz w:val="24"/>
                <w:szCs w:val="24"/>
                <w:highlight w:val="none"/>
                <w:lang w:val="en-US" w:eastAsia="zh-CN"/>
              </w:rPr>
              <w:t>4802</w:t>
            </w:r>
          </w:p>
        </w:tc>
        <w:tc>
          <w:tcPr>
            <w:tcW w:w="1293" w:type="dxa"/>
            <w:shd w:val="clear" w:color="auto" w:fill="auto"/>
            <w:vAlign w:val="center"/>
          </w:tcPr>
          <w:p w14:paraId="427F1AF5">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种植</w:t>
            </w:r>
          </w:p>
        </w:tc>
        <w:tc>
          <w:tcPr>
            <w:tcW w:w="1190" w:type="dxa"/>
            <w:shd w:val="clear" w:color="auto" w:fill="auto"/>
            <w:vAlign w:val="center"/>
          </w:tcPr>
          <w:p w14:paraId="737BA8F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10</w:t>
            </w:r>
          </w:p>
        </w:tc>
        <w:tc>
          <w:tcPr>
            <w:tcW w:w="1510" w:type="dxa"/>
            <w:shd w:val="clear" w:color="auto" w:fill="auto"/>
            <w:vAlign w:val="center"/>
          </w:tcPr>
          <w:p w14:paraId="43FFDD6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450</w:t>
            </w:r>
          </w:p>
        </w:tc>
        <w:tc>
          <w:tcPr>
            <w:tcW w:w="1481" w:type="dxa"/>
            <w:shd w:val="clear" w:color="auto" w:fill="auto"/>
            <w:vAlign w:val="center"/>
          </w:tcPr>
          <w:p w14:paraId="16D306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kern w:val="0"/>
                <w:sz w:val="24"/>
                <w:szCs w:val="24"/>
                <w:highlight w:val="none"/>
                <w:lang w:val="en-US" w:eastAsia="zh-CN"/>
              </w:rPr>
              <w:t>21</w:t>
            </w:r>
          </w:p>
        </w:tc>
      </w:tr>
      <w:tr w14:paraId="78AC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963" w:type="dxa"/>
            <w:gridSpan w:val="7"/>
            <w:shd w:val="clear" w:color="auto" w:fill="auto"/>
            <w:vAlign w:val="center"/>
          </w:tcPr>
          <w:p w14:paraId="5A54B77D">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实际移交面积与本公告中公示面积存在差异的，以委托方实际移交（测量）面积为准。</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流转标的无权属纠纷，委托方将提供该标的的相关证明，方便流入方办理相关证照。</w:t>
            </w:r>
          </w:p>
          <w:p w14:paraId="5879D734">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2.意向流入方须自行了解当地有关政策法规，如因上述原因导致无法签订合同及履约的，自行承担责任。</w:t>
            </w:r>
          </w:p>
          <w:p w14:paraId="364977B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.标的实际情况以意向方实地踏勘为准。</w:t>
            </w:r>
          </w:p>
          <w:p w14:paraId="0C28C89E">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0"/>
                <w:sz w:val="24"/>
                <w:szCs w:val="24"/>
                <w:highlight w:val="none"/>
                <w:lang w:val="en-US" w:eastAsia="zh-CN"/>
                <w14:textFill>
                  <w14:solidFill>
                    <w14:schemeClr w14:val="tx1"/>
                  </w14:solidFill>
                </w14:textFill>
              </w:rPr>
              <w:t>4.本公告标的位置图及现场图已经以附件形式上传，请意向方自行查阅公告中相关附件，图片仅供参考，实际情况以意向方实地踏勘为准。</w:t>
            </w:r>
          </w:p>
          <w:p w14:paraId="33D6C8EB">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5.本项目</w:t>
            </w:r>
            <w:r>
              <w:rPr>
                <w:rFonts w:hint="eastAsia" w:ascii="宋体" w:hAnsi="宋体" w:cs="宋体"/>
                <w:b/>
                <w:bCs/>
                <w:color w:val="000000" w:themeColor="text1"/>
                <w:kern w:val="0"/>
                <w:sz w:val="24"/>
                <w:szCs w:val="24"/>
                <w:highlight w:val="none"/>
                <w:lang w:val="en-US" w:eastAsia="zh-CN"/>
                <w14:textFill>
                  <w14:solidFill>
                    <w14:schemeClr w14:val="tx1"/>
                  </w14:solidFill>
                </w14:textFill>
              </w:rPr>
              <w:t>无</w:t>
            </w: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优先权人。</w:t>
            </w:r>
          </w:p>
        </w:tc>
      </w:tr>
      <w:tr w14:paraId="7410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0260A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标的使用要求</w:t>
            </w:r>
          </w:p>
        </w:tc>
        <w:tc>
          <w:tcPr>
            <w:tcW w:w="8477" w:type="dxa"/>
            <w:gridSpan w:val="6"/>
            <w:shd w:val="clear" w:color="auto" w:fill="auto"/>
            <w:vAlign w:val="center"/>
          </w:tcPr>
          <w:p w14:paraId="51390D08">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u w:val="singl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1.土地规划用途</w:t>
            </w:r>
            <w:r>
              <w:rPr>
                <w:rFonts w:hint="eastAsia" w:ascii="宋体" w:hAnsi="宋体" w:cs="宋体"/>
                <w:b w:val="0"/>
                <w:bCs w:val="0"/>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种植 </w:t>
            </w:r>
          </w:p>
          <w:p w14:paraId="77033B26">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2.符合国家相关法律法规及政策规定且不得改变现有土地使用性质，不得给该土地造成污染及破坏，不得擅自改变原有面貌，不得随意挖沟塘、建路等。</w:t>
            </w:r>
          </w:p>
          <w:p w14:paraId="131DA3F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3.土地的经营须符合当地相关要求及规定。</w:t>
            </w:r>
          </w:p>
          <w:p w14:paraId="3D2195B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color w:val="000000" w:themeColor="text1"/>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4.流转期间因国家和政府征用本合同部分土地的，流入方须积极配合。</w:t>
            </w:r>
          </w:p>
        </w:tc>
      </w:tr>
      <w:tr w14:paraId="7E6E9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486" w:type="dxa"/>
            <w:vAlign w:val="center"/>
          </w:tcPr>
          <w:p w14:paraId="05BF83B6">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hint="eastAsia" w:ascii="宋体" w:hAnsi="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kern w:val="0"/>
                <w:sz w:val="24"/>
                <w:szCs w:val="24"/>
                <w:highlight w:val="none"/>
                <w:lang w:eastAsia="zh-CN"/>
                <w14:textFill>
                  <w14:solidFill>
                    <w14:schemeClr w14:val="tx1"/>
                  </w14:solidFill>
                </w14:textFill>
              </w:rPr>
              <w:t>流转价款及履约保证金支付</w:t>
            </w:r>
          </w:p>
        </w:tc>
        <w:tc>
          <w:tcPr>
            <w:tcW w:w="8477" w:type="dxa"/>
            <w:gridSpan w:val="6"/>
            <w:shd w:val="clear" w:color="auto" w:fill="auto"/>
            <w:vAlign w:val="center"/>
          </w:tcPr>
          <w:p w14:paraId="20C4166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cs="宋体"/>
                <w:color w:val="000000" w:themeColor="text1"/>
                <w:kern w:val="0"/>
                <w:sz w:val="24"/>
                <w:szCs w:val="24"/>
                <w:highlight w:val="none"/>
                <w:lang w:val="en-US" w:eastAsia="zh-CN"/>
                <w14:textFill>
                  <w14:solidFill>
                    <w14:schemeClr w14:val="tx1"/>
                  </w14:solidFill>
                </w14:textFill>
              </w:rPr>
            </w:pPr>
            <w:r>
              <w:rPr>
                <w:rFonts w:hint="eastAsia" w:ascii="宋体" w:hAnsi="宋体" w:cs="宋体"/>
                <w:color w:val="000000" w:themeColor="text1"/>
                <w:kern w:val="0"/>
                <w:sz w:val="24"/>
                <w:szCs w:val="24"/>
                <w:highlight w:val="none"/>
                <w:lang w:val="en-US" w:eastAsia="zh-CN"/>
                <w14:textFill>
                  <w14:solidFill>
                    <w14:schemeClr w14:val="tx1"/>
                  </w14:solidFill>
                </w14:textFill>
              </w:rPr>
              <w:t>1.流转期内，流转价款有递增，</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每5年递增10% </w:t>
            </w:r>
            <w:r>
              <w:rPr>
                <w:rFonts w:hint="eastAsia" w:ascii="宋体" w:hAnsi="宋体" w:cs="宋体"/>
                <w:color w:val="000000" w:themeColor="text1"/>
                <w:kern w:val="0"/>
                <w:sz w:val="24"/>
                <w:szCs w:val="24"/>
                <w:highlight w:val="none"/>
                <w:lang w:val="en-US"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每</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支付一次，先支付后使用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首年流转价款在</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合同签订后10日内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付清，以后年度流转价款应</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在每年6月30日前 </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支付完成。</w:t>
            </w:r>
          </w:p>
          <w:p w14:paraId="60EFD7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履约保证金为</w:t>
            </w:r>
            <w:r>
              <w:rPr>
                <w:rFonts w:hint="eastAsia" w:ascii="宋体" w:hAnsi="宋体" w:eastAsia="宋体" w:cs="宋体"/>
                <w:color w:val="000000" w:themeColor="text1"/>
                <w:kern w:val="0"/>
                <w:sz w:val="24"/>
                <w:szCs w:val="24"/>
                <w:highlight w:val="none"/>
                <w:u w:val="single"/>
                <w:shd w:val="clear" w:color="auto" w:fill="auto"/>
                <w14:textFill>
                  <w14:solidFill>
                    <w14:schemeClr w14:val="tx1"/>
                  </w14:solidFill>
                </w14:textFill>
              </w:rPr>
              <w:t xml:space="preserve"> </w:t>
            </w:r>
            <w:r>
              <w:rPr>
                <w:rFonts w:hint="eastAsia" w:ascii="宋体" w:hAnsi="宋体" w:cs="宋体"/>
                <w:color w:val="000000" w:themeColor="text1"/>
                <w:kern w:val="0"/>
                <w:sz w:val="24"/>
                <w:szCs w:val="24"/>
                <w:highlight w:val="none"/>
                <w:u w:val="single"/>
                <w:shd w:val="clear" w:color="auto" w:fill="auto"/>
                <w:lang w:val="en-US" w:eastAsia="zh-CN"/>
                <w14:textFill>
                  <w14:solidFill>
                    <w14:schemeClr w14:val="tx1"/>
                  </w14:solidFill>
                </w14:textFill>
              </w:rPr>
              <w:t>首年流转价款的50%</w:t>
            </w:r>
            <w:r>
              <w:rPr>
                <w:rFonts w:hint="eastAsia" w:ascii="宋体" w:hAnsi="宋体" w:eastAsia="宋体" w:cs="宋体"/>
                <w:color w:val="000000" w:themeColor="text1"/>
                <w:kern w:val="0"/>
                <w:sz w:val="24"/>
                <w:szCs w:val="24"/>
                <w:highlight w:val="none"/>
                <w:u w:val="single"/>
                <w:shd w:val="clear" w:color="auto" w:fill="auto"/>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履约保证金与首</w:t>
            </w:r>
            <w:r>
              <w:rPr>
                <w:rFonts w:hint="eastAsia" w:ascii="宋体" w:hAnsi="宋体" w:cs="宋体"/>
                <w:color w:val="000000" w:themeColor="text1"/>
                <w:kern w:val="0"/>
                <w:sz w:val="24"/>
                <w:szCs w:val="24"/>
                <w:highlight w:val="none"/>
                <w:lang w:val="en-US" w:eastAsia="zh-CN"/>
                <w14:textFill>
                  <w14:solidFill>
                    <w14:schemeClr w14:val="tx1"/>
                  </w14:solidFill>
                </w14:textFill>
              </w:rPr>
              <w:t>年</w:t>
            </w:r>
            <w:r>
              <w:rPr>
                <w:rFonts w:hint="eastAsia" w:ascii="宋体" w:hAnsi="宋体" w:eastAsia="宋体" w:cs="宋体"/>
                <w:color w:val="000000" w:themeColor="text1"/>
                <w:kern w:val="0"/>
                <w:sz w:val="24"/>
                <w:szCs w:val="24"/>
                <w:highlight w:val="none"/>
                <w14:textFill>
                  <w14:solidFill>
                    <w14:schemeClr w14:val="tx1"/>
                  </w14:solidFill>
                </w14:textFill>
              </w:rPr>
              <w:t>流转价款一并支付</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流入方向</w:t>
            </w:r>
            <w:r>
              <w:rPr>
                <w:rFonts w:hint="eastAsia" w:ascii="宋体" w:hAnsi="宋体" w:eastAsia="宋体" w:cs="宋体"/>
                <w:color w:val="000000" w:themeColor="text1"/>
                <w:kern w:val="0"/>
                <w:sz w:val="24"/>
                <w:szCs w:val="24"/>
                <w:highlight w:val="none"/>
                <w:lang w:eastAsia="zh-CN"/>
                <w14:textFill>
                  <w14:solidFill>
                    <w14:schemeClr w14:val="tx1"/>
                  </w14:solidFill>
                </w14:textFill>
              </w:rPr>
              <w:t>流出方</w:t>
            </w:r>
            <w:r>
              <w:rPr>
                <w:rFonts w:hint="eastAsia" w:ascii="宋体" w:hAnsi="宋体" w:eastAsia="宋体" w:cs="宋体"/>
                <w:color w:val="000000" w:themeColor="text1"/>
                <w:kern w:val="0"/>
                <w:sz w:val="24"/>
                <w:szCs w:val="24"/>
                <w:highlight w:val="none"/>
                <w14:textFill>
                  <w14:solidFill>
                    <w14:schemeClr w14:val="tx1"/>
                  </w14:solidFill>
                </w14:textFill>
              </w:rPr>
              <w:t>交纳的履约保证金在合同终止且无流入方责任后</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不计</w:t>
            </w:r>
            <w:r>
              <w:rPr>
                <w:rFonts w:hint="eastAsia" w:ascii="宋体" w:hAnsi="宋体" w:cs="宋体"/>
                <w:color w:val="000000" w:themeColor="text1"/>
                <w:kern w:val="0"/>
                <w:sz w:val="24"/>
                <w:szCs w:val="24"/>
                <w:highlight w:val="none"/>
                <w:lang w:val="en-US" w:eastAsia="zh-CN"/>
                <w14:textFill>
                  <w14:solidFill>
                    <w14:schemeClr w14:val="tx1"/>
                  </w14:solidFill>
                </w14:textFill>
              </w:rPr>
              <w:t>利</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息</w:t>
            </w:r>
            <w:r>
              <w:rPr>
                <w:rFonts w:hint="eastAsia" w:ascii="宋体" w:hAnsi="宋体" w:eastAsia="宋体" w:cs="宋体"/>
                <w:color w:val="000000" w:themeColor="text1"/>
                <w:kern w:val="0"/>
                <w:sz w:val="24"/>
                <w:szCs w:val="24"/>
                <w:highlight w:val="none"/>
                <w14:textFill>
                  <w14:solidFill>
                    <w14:schemeClr w14:val="tx1"/>
                  </w14:solidFill>
                </w14:textFill>
              </w:rPr>
              <w:t>退还。</w:t>
            </w:r>
          </w:p>
        </w:tc>
      </w:tr>
      <w:tr w14:paraId="30C0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9963" w:type="dxa"/>
            <w:gridSpan w:val="7"/>
            <w:vAlign w:val="center"/>
          </w:tcPr>
          <w:p w14:paraId="46E78AD4">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二、对意向方资格的要求</w:t>
            </w:r>
          </w:p>
        </w:tc>
      </w:tr>
      <w:tr w14:paraId="0A44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9963" w:type="dxa"/>
            <w:gridSpan w:val="7"/>
            <w:shd w:val="clear" w:color="auto" w:fill="auto"/>
            <w:vAlign w:val="center"/>
          </w:tcPr>
          <w:p w14:paraId="4CD2BF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bookmarkStart w:id="2" w:name="OLE_LINK3"/>
            <w:r>
              <w:rPr>
                <w:rFonts w:hint="eastAsia" w:ascii="宋体" w:hAnsi="宋体" w:eastAsia="宋体" w:cs="宋体"/>
                <w:i w:val="0"/>
                <w:iCs w:val="0"/>
                <w:caps w:val="0"/>
                <w:color w:val="000000" w:themeColor="text1"/>
                <w:spacing w:val="0"/>
                <w:kern w:val="0"/>
                <w:sz w:val="24"/>
                <w:szCs w:val="24"/>
                <w:highlight w:val="none"/>
                <w:u w:val="none"/>
                <w:shd w:val="clear" w:fill="FFFFFF"/>
                <w:lang w:val="en-US" w:eastAsia="zh-CN" w:bidi="ar"/>
                <w14:textFill>
                  <w14:solidFill>
                    <w14:schemeClr w14:val="tx1"/>
                  </w14:solidFill>
                </w14:textFill>
              </w:rPr>
              <w:t>1</w:t>
            </w:r>
            <w:bookmarkEnd w:id="2"/>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凡依法设立、有效存续的境内企事业法人、其他组织，且未被合肥市及其所辖县（市）、区（开发区）公共资源交易监督管理部门记不良行为记录的，或被记不良行为记录（以公布日期为准），但同时符合下列情形的方可参与项目登记及竞价：</w:t>
            </w:r>
          </w:p>
          <w:p w14:paraId="6A55F8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（1）公告截止日前（含当日）6个月内记分累计未满10分的；</w:t>
            </w:r>
          </w:p>
          <w:p w14:paraId="5CBCDD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（2）公告截止日前（含当日）12个月内记分累计未满15分的；</w:t>
            </w:r>
          </w:p>
          <w:p w14:paraId="68ADBD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（3）公告截止日前（含当日）18个月内记分累计未满20分的；</w:t>
            </w:r>
          </w:p>
          <w:p w14:paraId="38E405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微软雅黑" w:hAnsi="微软雅黑" w:eastAsia="微软雅黑" w:cs="微软雅黑"/>
                <w:i w:val="0"/>
                <w:iCs w:val="0"/>
                <w:caps w:val="0"/>
                <w:color w:val="000000" w:themeColor="text1"/>
                <w:spacing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（4）公告截止日前（含当日）24个月内记分累计未满25分的。</w:t>
            </w:r>
          </w:p>
          <w:p w14:paraId="375DFF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0" w:lineRule="atLeast"/>
              <w:ind w:left="0" w:right="0" w:firstLine="0"/>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2.本项目不接受联合体</w:t>
            </w:r>
            <w:r>
              <w:rPr>
                <w:rFonts w:hint="eastAsia" w:ascii="宋体" w:hAnsi="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自然人、个体工商户</w:t>
            </w:r>
            <w:r>
              <w:rPr>
                <w:rFonts w:hint="eastAsia" w:ascii="宋体" w:hAnsi="宋体" w:eastAsia="宋体" w:cs="宋体"/>
                <w:i w:val="0"/>
                <w:iCs w:val="0"/>
                <w:caps w:val="0"/>
                <w:color w:val="000000" w:themeColor="text1"/>
                <w:spacing w:val="0"/>
                <w:kern w:val="0"/>
                <w:sz w:val="24"/>
                <w:szCs w:val="24"/>
                <w:highlight w:val="none"/>
                <w:shd w:val="clear" w:fill="FFFFFF"/>
                <w:lang w:val="en-US" w:eastAsia="zh-CN" w:bidi="ar"/>
                <w14:textFill>
                  <w14:solidFill>
                    <w14:schemeClr w14:val="tx1"/>
                  </w14:solidFill>
                </w14:textFill>
              </w:rPr>
              <w:t>参与。</w:t>
            </w:r>
          </w:p>
        </w:tc>
      </w:tr>
      <w:tr w14:paraId="79E1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63" w:type="dxa"/>
            <w:gridSpan w:val="7"/>
            <w:shd w:val="clear" w:color="auto" w:fill="auto"/>
            <w:vAlign w:val="center"/>
          </w:tcPr>
          <w:p w14:paraId="69B44C9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三、对意向方的特别要求</w:t>
            </w:r>
          </w:p>
        </w:tc>
      </w:tr>
      <w:tr w14:paraId="1B8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963" w:type="dxa"/>
            <w:gridSpan w:val="7"/>
            <w:shd w:val="clear" w:color="auto" w:fill="auto"/>
            <w:vAlign w:val="center"/>
          </w:tcPr>
          <w:p w14:paraId="01AE668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（一）意向方应在本公告期截止前现场踏勘流转标的，</w:t>
            </w:r>
            <w:r>
              <w:rPr>
                <w:rFonts w:hint="eastAsia" w:ascii="宋体" w:hAnsi="宋体" w:cs="宋体"/>
                <w:color w:val="000000" w:themeColor="text1"/>
                <w:kern w:val="0"/>
                <w:sz w:val="24"/>
                <w:szCs w:val="24"/>
                <w:highlight w:val="none"/>
                <w:lang w:val="en-US" w:eastAsia="zh-CN"/>
                <w14:textFill>
                  <w14:solidFill>
                    <w14:schemeClr w14:val="tx1"/>
                  </w14:solidFill>
                </w14:textFill>
              </w:rPr>
              <w:t>并</w:t>
            </w:r>
            <w:r>
              <w:rPr>
                <w:rFonts w:hint="eastAsia" w:ascii="宋体" w:hAnsi="宋体" w:eastAsia="宋体" w:cs="宋体"/>
                <w:color w:val="000000" w:themeColor="text1"/>
                <w:kern w:val="0"/>
                <w:sz w:val="24"/>
                <w:szCs w:val="24"/>
                <w:highlight w:val="none"/>
                <w14:textFill>
                  <w14:solidFill>
                    <w14:schemeClr w14:val="tx1"/>
                  </w14:solidFill>
                </w14:textFill>
              </w:rPr>
              <w:t>就流转标的相关情况主动向委托方咨询，自行了解标的可能涉及的相关法律法规及政策规定；</w:t>
            </w:r>
            <w:r>
              <w:rPr>
                <w:rFonts w:hint="eastAsia" w:ascii="宋体" w:hAnsi="宋体" w:eastAsia="宋体" w:cs="宋体"/>
                <w:b/>
                <w:bCs/>
                <w:color w:val="000000" w:themeColor="text1"/>
                <w:kern w:val="0"/>
                <w:sz w:val="24"/>
                <w:szCs w:val="24"/>
                <w:highlight w:val="none"/>
                <w14:textFill>
                  <w14:solidFill>
                    <w14:schemeClr w14:val="tx1"/>
                  </w14:solidFill>
                </w14:textFill>
              </w:rPr>
              <w:t>完成登记的意向方都视同已实地踏勘流转标的，确认了标的范围、面积并认可流转要求等，自愿承担因上述原因导致的一切后果和法律责任。</w:t>
            </w:r>
          </w:p>
          <w:p w14:paraId="3DF02C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二）本次流转以列示的标的面积为限，以移交时的实际现状为准。实际移交面积与本公告中公示面积存在差异的，以实际移交面积为准。流转面积之外的建筑物、附属物（如道路、绿化、空地、停车场）均不在流转范围内，委托方不提供任何承诺及服务。</w:t>
            </w:r>
          </w:p>
          <w:p w14:paraId="239405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（三）流转期内，流转标的须由流入方本人经营</w:t>
            </w:r>
            <w:r>
              <w:rPr>
                <w:rFonts w:hint="eastAsia" w:ascii="宋体" w:hAnsi="宋体" w:cs="宋体"/>
                <w:color w:val="000000" w:themeColor="text1"/>
                <w:kern w:val="0"/>
                <w:sz w:val="24"/>
                <w:szCs w:val="24"/>
                <w:highlight w:val="none"/>
                <w:lang w:eastAsia="zh-CN"/>
                <w14:textFill>
                  <w14:solidFill>
                    <w14:schemeClr w14:val="tx1"/>
                  </w14:solidFill>
                </w14:textFill>
              </w:rPr>
              <w:t>。未经委托方书面同意，不得与他人合作经营，</w:t>
            </w:r>
            <w:r>
              <w:rPr>
                <w:rFonts w:hint="eastAsia" w:ascii="宋体" w:hAnsi="宋体" w:eastAsia="宋体" w:cs="宋体"/>
                <w:color w:val="000000" w:themeColor="text1"/>
                <w:kern w:val="0"/>
                <w:sz w:val="24"/>
                <w:szCs w:val="24"/>
                <w:highlight w:val="none"/>
                <w14:textFill>
                  <w14:solidFill>
                    <w14:schemeClr w14:val="tx1"/>
                  </w14:solidFill>
                </w14:textFill>
              </w:rPr>
              <w:t>不得以任何形式转租、分租、出借。</w:t>
            </w:r>
          </w:p>
          <w:p w14:paraId="409738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（四）流转期内，流入方不得以任何理由要求减免流转价款。如因法律法规及相关规定需要改变土地使用性质而导致合同解除的，流转价款按照实际流转时间计算，不足整月的按实际天数计算，多退少补。</w:t>
            </w:r>
          </w:p>
          <w:p w14:paraId="68CCE6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（五）《土地流转合同》期满或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时，流入方投入的土地平整部分及地上设施等不可拆除部分无偿归委托方所有和使用，在合同期满或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前由流入方将地上作物自行处置完毕，并将流转土地</w:t>
            </w:r>
            <w:r>
              <w:rPr>
                <w:rFonts w:hint="eastAsia" w:ascii="宋体" w:hAnsi="宋体" w:cs="宋体"/>
                <w:color w:val="000000" w:themeColor="text1"/>
                <w:kern w:val="0"/>
                <w:sz w:val="24"/>
                <w:szCs w:val="24"/>
                <w:highlight w:val="none"/>
                <w:lang w:eastAsia="zh-CN"/>
                <w14:textFill>
                  <w14:solidFill>
                    <w14:schemeClr w14:val="tx1"/>
                  </w14:solidFill>
                </w14:textFill>
              </w:rPr>
              <w:t>平整</w:t>
            </w:r>
            <w:r>
              <w:rPr>
                <w:rFonts w:hint="eastAsia" w:ascii="宋体" w:hAnsi="宋体" w:eastAsia="宋体" w:cs="宋体"/>
                <w:color w:val="000000" w:themeColor="text1"/>
                <w:kern w:val="0"/>
                <w:sz w:val="24"/>
                <w:szCs w:val="24"/>
                <w:highlight w:val="none"/>
                <w14:textFill>
                  <w14:solidFill>
                    <w14:schemeClr w14:val="tx1"/>
                  </w14:solidFill>
                </w14:textFill>
              </w:rPr>
              <w:t>后在合同期满或</w:t>
            </w:r>
            <w:r>
              <w:rPr>
                <w:rFonts w:hint="eastAsia" w:ascii="宋体" w:hAnsi="宋体" w:cs="宋体"/>
                <w:color w:val="000000" w:themeColor="text1"/>
                <w:kern w:val="0"/>
                <w:sz w:val="24"/>
                <w:szCs w:val="24"/>
                <w:highlight w:val="none"/>
                <w:lang w:eastAsia="zh-CN"/>
                <w14:textFill>
                  <w14:solidFill>
                    <w14:schemeClr w14:val="tx1"/>
                  </w14:solidFill>
                </w14:textFill>
              </w:rPr>
              <w:t>终结</w:t>
            </w:r>
            <w:r>
              <w:rPr>
                <w:rFonts w:hint="eastAsia" w:ascii="宋体" w:hAnsi="宋体" w:eastAsia="宋体" w:cs="宋体"/>
                <w:color w:val="000000" w:themeColor="text1"/>
                <w:kern w:val="0"/>
                <w:sz w:val="24"/>
                <w:szCs w:val="24"/>
                <w:highlight w:val="none"/>
                <w14:textFill>
                  <w14:solidFill>
                    <w14:schemeClr w14:val="tx1"/>
                  </w14:solidFill>
                </w14:textFill>
              </w:rPr>
              <w:t>后</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kern w:val="0"/>
                <w:sz w:val="24"/>
                <w:szCs w:val="24"/>
                <w:highlight w:val="none"/>
                <w14:textFill>
                  <w14:solidFill>
                    <w14:schemeClr w14:val="tx1"/>
                  </w14:solidFill>
                </w14:textFill>
              </w:rPr>
              <w:t>日内交还委托方，且不得提出任何补偿要求。</w:t>
            </w:r>
          </w:p>
          <w:p w14:paraId="2A1CE41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（六）</w:t>
            </w:r>
            <w:r>
              <w:rPr>
                <w:rFonts w:hint="eastAsia" w:ascii="宋体" w:hAnsi="宋体" w:cs="宋体"/>
                <w:color w:val="000000" w:themeColor="text1"/>
                <w:kern w:val="0"/>
                <w:sz w:val="24"/>
                <w:szCs w:val="24"/>
                <w:highlight w:val="none"/>
                <w:lang w:eastAsia="zh-CN"/>
                <w14:textFill>
                  <w14:solidFill>
                    <w14:schemeClr w14:val="tx1"/>
                  </w14:solidFill>
                </w14:textFill>
              </w:rPr>
              <w:t>交易双方</w:t>
            </w:r>
            <w:r>
              <w:rPr>
                <w:rFonts w:hint="eastAsia" w:ascii="宋体" w:hAnsi="宋体" w:eastAsia="宋体" w:cs="宋体"/>
                <w:color w:val="000000" w:themeColor="text1"/>
                <w:kern w:val="0"/>
                <w:sz w:val="24"/>
                <w:szCs w:val="24"/>
                <w:highlight w:val="none"/>
                <w14:textFill>
                  <w14:solidFill>
                    <w14:schemeClr w14:val="tx1"/>
                  </w14:solidFill>
                </w14:textFill>
              </w:rPr>
              <w:t>自</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成交</w:t>
            </w:r>
            <w:r>
              <w:rPr>
                <w:rFonts w:hint="eastAsia" w:ascii="宋体" w:hAnsi="宋体" w:cs="宋体"/>
                <w:color w:val="000000" w:themeColor="text1"/>
                <w:kern w:val="0"/>
                <w:sz w:val="24"/>
                <w:szCs w:val="24"/>
                <w:highlight w:val="none"/>
                <w:lang w:eastAsia="zh-CN"/>
                <w14:textFill>
                  <w14:solidFill>
                    <w14:schemeClr w14:val="tx1"/>
                  </w14:solidFill>
                </w14:textFill>
              </w:rPr>
              <w:t>确认书</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》发出</w:t>
            </w:r>
            <w:r>
              <w:rPr>
                <w:rFonts w:hint="eastAsia" w:ascii="宋体" w:hAnsi="宋体" w:eastAsia="宋体" w:cs="宋体"/>
                <w:color w:val="000000" w:themeColor="text1"/>
                <w:kern w:val="0"/>
                <w:sz w:val="24"/>
                <w:szCs w:val="24"/>
                <w:highlight w:val="none"/>
                <w14:textFill>
                  <w14:solidFill>
                    <w14:schemeClr w14:val="tx1"/>
                  </w14:solidFill>
                </w14:textFill>
              </w:rPr>
              <w:t>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kern w:val="0"/>
                <w:sz w:val="24"/>
                <w:szCs w:val="24"/>
                <w:highlight w:val="none"/>
                <w:u w:val="single"/>
                <w:lang w:val="en-US" w:eastAsia="zh-CN"/>
                <w14:textFill>
                  <w14:solidFill>
                    <w14:schemeClr w14:val="tx1"/>
                  </w14:solidFill>
                </w14:textFill>
              </w:rPr>
              <w:t>5个工作日</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内签订流转合同</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14:textFill>
                  <w14:solidFill>
                    <w14:schemeClr w14:val="tx1"/>
                  </w14:solidFill>
                </w14:textFill>
              </w:rPr>
              <w:t>逾期不签合同的将移交交易监督管理部门处理。</w:t>
            </w:r>
          </w:p>
          <w:p w14:paraId="7672606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cs="宋体"/>
                <w:color w:val="000000" w:themeColor="text1"/>
                <w:kern w:val="0"/>
                <w:sz w:val="24"/>
                <w:szCs w:val="24"/>
                <w:highlight w:val="none"/>
                <w:lang w:eastAsia="zh-CN"/>
                <w14:textFill>
                  <w14:solidFill>
                    <w14:schemeClr w14:val="tx1"/>
                  </w14:solidFill>
                </w14:textFill>
              </w:rPr>
              <w:t>七</w:t>
            </w:r>
            <w:r>
              <w:rPr>
                <w:rFonts w:hint="eastAsia" w:ascii="宋体" w:hAnsi="宋体" w:eastAsia="宋体" w:cs="宋体"/>
                <w:color w:val="000000" w:themeColor="text1"/>
                <w:kern w:val="0"/>
                <w:sz w:val="24"/>
                <w:szCs w:val="24"/>
                <w:highlight w:val="none"/>
                <w14:textFill>
                  <w14:solidFill>
                    <w14:schemeClr w14:val="tx1"/>
                  </w14:solidFill>
                </w14:textFill>
              </w:rPr>
              <w:t>）其他未尽事宜详见</w:t>
            </w:r>
            <w:r>
              <w:rPr>
                <w:rFonts w:hint="eastAsia" w:ascii="宋体" w:hAnsi="宋体" w:cs="宋体"/>
                <w:color w:val="000000" w:themeColor="text1"/>
                <w:kern w:val="0"/>
                <w:sz w:val="24"/>
                <w:szCs w:val="24"/>
                <w:highlight w:val="none"/>
                <w:lang w:eastAsia="zh-CN"/>
                <w14:textFill>
                  <w14:solidFill>
                    <w14:schemeClr w14:val="tx1"/>
                  </w14:solidFill>
                </w14:textFill>
              </w:rPr>
              <w:t>附件</w:t>
            </w:r>
            <w:r>
              <w:rPr>
                <w:rFonts w:hint="eastAsia" w:ascii="宋体" w:hAnsi="宋体" w:eastAsia="宋体" w:cs="宋体"/>
                <w:color w:val="000000" w:themeColor="text1"/>
                <w:kern w:val="0"/>
                <w:sz w:val="24"/>
                <w:szCs w:val="24"/>
                <w:highlight w:val="none"/>
                <w14:textFill>
                  <w14:solidFill>
                    <w14:schemeClr w14:val="tx1"/>
                  </w14:solidFill>
                </w14:textFill>
              </w:rPr>
              <w:t>《土地经营权流转合同》。</w:t>
            </w:r>
          </w:p>
        </w:tc>
      </w:tr>
      <w:tr w14:paraId="67ECA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9963" w:type="dxa"/>
            <w:gridSpan w:val="7"/>
            <w:shd w:val="clear" w:color="auto" w:fill="auto"/>
            <w:vAlign w:val="center"/>
          </w:tcPr>
          <w:p w14:paraId="259DA27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四、流入方确定方式</w:t>
            </w:r>
          </w:p>
        </w:tc>
      </w:tr>
      <w:tr w14:paraId="3DC0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25E2D3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本项目采取网络一次性报价，最高报价者得的方式确定</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流入方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，最终成交结果以结果公告为准。</w:t>
            </w:r>
            <w:r>
              <w:rPr>
                <w:rFonts w:hint="eastAsia" w:ascii="宋体" w:hAnsi="宋体" w:eastAsia="宋体" w:cs="宋体"/>
                <w:b w:val="0"/>
                <w:bCs/>
                <w:color w:val="000000" w:themeColor="text1"/>
                <w:sz w:val="24"/>
                <w:szCs w:val="24"/>
                <w:highlight w:val="none"/>
                <w:shd w:val="clear" w:color="auto" w:fill="auto"/>
                <w14:textFill>
                  <w14:solidFill>
                    <w14:schemeClr w14:val="tx1"/>
                  </w14:solidFill>
                </w14:textFill>
              </w:rPr>
              <w:t>注：最高报价是指不低于公告底价的最高报价，</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由于系统故障或竞价系统信息与公告信息不符或委托方要求中止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项目造成竞价中止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终止</w:t>
            </w:r>
            <w:r>
              <w:rPr>
                <w:rFonts w:hint="eastAsia" w:ascii="宋体" w:hAnsi="宋体" w:eastAsia="宋体" w:cs="宋体"/>
                <w:b/>
                <w:bCs w:val="0"/>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shd w:val="clear" w:color="auto" w:fill="auto"/>
                <w14:textFill>
                  <w14:solidFill>
                    <w14:schemeClr w14:val="tx1"/>
                  </w14:solidFill>
                </w14:textFill>
              </w:rPr>
              <w:t>时的最高报价不作为本项目最高报价。</w:t>
            </w:r>
          </w:p>
        </w:tc>
      </w:tr>
      <w:tr w14:paraId="2FA1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9963" w:type="dxa"/>
            <w:gridSpan w:val="7"/>
            <w:shd w:val="clear" w:color="auto" w:fill="auto"/>
            <w:vAlign w:val="center"/>
          </w:tcPr>
          <w:p w14:paraId="615B01A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五、意向方参与方式</w:t>
            </w:r>
          </w:p>
        </w:tc>
      </w:tr>
      <w:tr w14:paraId="140A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486" w:type="dxa"/>
            <w:shd w:val="clear" w:color="auto" w:fill="auto"/>
            <w:vAlign w:val="center"/>
          </w:tcPr>
          <w:p w14:paraId="0DC1756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主体库登记</w:t>
            </w:r>
          </w:p>
        </w:tc>
        <w:tc>
          <w:tcPr>
            <w:tcW w:w="8477" w:type="dxa"/>
            <w:gridSpan w:val="6"/>
            <w:shd w:val="clear" w:color="auto" w:fill="auto"/>
            <w:vAlign w:val="center"/>
          </w:tcPr>
          <w:p w14:paraId="2604375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须完成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市场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主体库登记</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注册</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方可参与本项目登记。具体方式如下：</w:t>
            </w:r>
          </w:p>
          <w:p w14:paraId="20DC33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企事业法人、其他组织</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的，须凭借第三方电子认证服务提供者签发的电子签名认证证书（以下简称：CA）直接登录安徽公共资源交易</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集团</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电子</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交易</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系统（网址：http://hy.ahggzyjy.com/onlineBidder/default/login_tbr）。</w:t>
            </w:r>
          </w:p>
          <w:p w14:paraId="25785A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2.意向</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为自然人的，点击安徽</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公共资源交易电子服务系统（网址：https://ggzy.hefei.gov.cn/tspbidder/）下方的“安徽政务服务网统一认证中心登录”。</w:t>
            </w:r>
          </w:p>
          <w:p w14:paraId="77DA45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具体流程参见</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公告附件</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lang w:val="en-US" w:eastAsia="zh-CN"/>
                <w14:textFill>
                  <w14:solidFill>
                    <w14:schemeClr w14:val="tx1"/>
                  </w14:solidFill>
                </w14:textFill>
              </w:rPr>
              <w:t>农村产权交易操作手册</w:t>
            </w:r>
            <w:r>
              <w:rPr>
                <w:rFonts w:hint="eastAsia" w:ascii="宋体" w:hAnsi="宋体" w:eastAsia="宋体" w:cs="宋体"/>
                <w:b/>
                <w:bCs/>
                <w:color w:val="000000" w:themeColor="text1"/>
                <w:sz w:val="24"/>
                <w:szCs w:val="24"/>
                <w:highlight w:val="none"/>
                <w:shd w:val="clear" w:color="auto" w:fill="auto"/>
                <w:lang w:eastAsia="zh-CN"/>
                <w14:textFill>
                  <w14:solidFill>
                    <w14:schemeClr w14:val="tx1"/>
                  </w14:solidFill>
                </w14:textFill>
              </w:rPr>
              <w:t>》</w:t>
            </w:r>
            <w:r>
              <w:rPr>
                <w:rFonts w:hint="eastAsia" w:ascii="宋体" w:hAnsi="宋体" w:eastAsia="宋体" w:cs="宋体"/>
                <w:b/>
                <w:bCs/>
                <w:color w:val="000000" w:themeColor="text1"/>
                <w:sz w:val="24"/>
                <w:szCs w:val="24"/>
                <w:highlight w:val="none"/>
                <w:shd w:val="clear" w:color="auto" w:fill="auto"/>
                <w14:textFill>
                  <w14:solidFill>
                    <w14:schemeClr w14:val="tx1"/>
                  </w14:solidFill>
                </w14:textFill>
              </w:rPr>
              <w:t>。</w:t>
            </w:r>
          </w:p>
        </w:tc>
      </w:tr>
      <w:tr w14:paraId="356BF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122DB33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项目登记</w:t>
            </w:r>
          </w:p>
        </w:tc>
        <w:tc>
          <w:tcPr>
            <w:tcW w:w="8477" w:type="dxa"/>
            <w:gridSpan w:val="6"/>
            <w:shd w:val="clear" w:color="auto" w:fill="auto"/>
            <w:vAlign w:val="center"/>
          </w:tcPr>
          <w:p w14:paraId="3A62F03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完成主体库登记的意向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，直接登录安徽</w:t>
            </w:r>
            <w:r>
              <w:rPr>
                <w:rFonts w:hint="eastAsia" w:ascii="宋体" w:hAnsi="宋体" w:eastAsia="宋体" w:cs="宋体"/>
                <w:color w:val="000000" w:themeColor="text1"/>
                <w:sz w:val="24"/>
                <w:szCs w:val="24"/>
                <w:highlight w:val="none"/>
                <w:lang w:val="en-US" w:eastAsia="zh-CN"/>
                <w14:textFill>
                  <w14:solidFill>
                    <w14:schemeClr w14:val="tx1"/>
                  </w14:solidFill>
                </w14:textFill>
              </w:rPr>
              <w:t>合肥</w:t>
            </w:r>
            <w:r>
              <w:rPr>
                <w:rFonts w:hint="eastAsia" w:ascii="宋体" w:hAnsi="宋体" w:eastAsia="宋体" w:cs="宋体"/>
                <w:color w:val="000000" w:themeColor="text1"/>
                <w:sz w:val="24"/>
                <w:szCs w:val="24"/>
                <w:highlight w:val="none"/>
                <w14:textFill>
                  <w14:solidFill>
                    <w14:schemeClr w14:val="tx1"/>
                  </w14:solidFill>
                </w14:textFill>
              </w:rPr>
              <w:t>公共资源交易电子服务系统，进入后选择点击</w:t>
            </w:r>
            <w:r>
              <w:rPr>
                <w:rFonts w:hint="eastAsia" w:ascii="宋体" w:hAnsi="宋体" w:eastAsia="宋体" w:cs="宋体"/>
                <w:b/>
                <w:bCs/>
                <w:color w:val="000000" w:themeColor="text1"/>
                <w:sz w:val="24"/>
                <w:szCs w:val="24"/>
                <w:highlight w:val="none"/>
                <w14:textFill>
                  <w14:solidFill>
                    <w14:schemeClr w14:val="tx1"/>
                  </w14:solidFill>
                </w14:textFill>
              </w:rPr>
              <w:t>“安徽公共资源交易集团数智交易系统</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；页面跳转至安徽公共资源交易集团电子交易系统后，点击左上角的“</w:t>
            </w:r>
            <w:r>
              <w:rPr>
                <w:rFonts w:hint="eastAsia" w:ascii="宋体" w:hAnsi="宋体" w:eastAsia="宋体" w:cs="宋体"/>
                <w:b/>
                <w:bCs/>
                <w:color w:val="000000" w:themeColor="text1"/>
                <w:sz w:val="24"/>
                <w:szCs w:val="24"/>
                <w:highlight w:val="none"/>
                <w:lang w:eastAsia="zh-CN"/>
                <w14:textFill>
                  <w14:solidFill>
                    <w14:schemeClr w14:val="tx1"/>
                  </w14:solidFill>
                </w14:textFill>
              </w:rPr>
              <w:t>农村产权</w:t>
            </w:r>
            <w:r>
              <w:rPr>
                <w:rFonts w:hint="eastAsia" w:ascii="宋体" w:hAnsi="宋体" w:eastAsia="宋体" w:cs="宋体"/>
                <w:color w:val="000000" w:themeColor="text1"/>
                <w:sz w:val="24"/>
                <w:szCs w:val="24"/>
                <w:highlight w:val="none"/>
                <w14:textFill>
                  <w14:solidFill>
                    <w14:schemeClr w14:val="tx1"/>
                  </w14:solidFill>
                </w14:textFill>
              </w:rPr>
              <w:t>”栏目，在列表中选择有意向的标的点击“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进入项目</w:t>
            </w:r>
            <w:r>
              <w:rPr>
                <w:rFonts w:hint="eastAsia" w:ascii="宋体" w:hAnsi="宋体" w:eastAsia="宋体" w:cs="宋体"/>
                <w:color w:val="000000" w:themeColor="text1"/>
                <w:sz w:val="24"/>
                <w:szCs w:val="24"/>
                <w:highlight w:val="none"/>
                <w14:textFill>
                  <w14:solidFill>
                    <w14:schemeClr w14:val="tx1"/>
                  </w14:solidFill>
                </w14:textFill>
              </w:rPr>
              <w:t>”，再点击“</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填写竞价信息</w:t>
            </w:r>
            <w:r>
              <w:rPr>
                <w:rFonts w:hint="eastAsia" w:ascii="宋体" w:hAnsi="宋体" w:eastAsia="宋体" w:cs="宋体"/>
                <w:color w:val="000000" w:themeColor="text1"/>
                <w:sz w:val="24"/>
                <w:szCs w:val="24"/>
                <w:highlight w:val="none"/>
                <w14:textFill>
                  <w14:solidFill>
                    <w14:schemeClr w14:val="tx1"/>
                  </w14:solidFill>
                </w14:textFill>
              </w:rPr>
              <w:t>”提交登记申请，意向</w:t>
            </w:r>
            <w:r>
              <w:rPr>
                <w:rFonts w:hint="eastAsia" w:ascii="宋体" w:hAnsi="宋体" w:eastAsia="宋体" w:cs="宋体"/>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color w:val="000000" w:themeColor="text1"/>
                <w:sz w:val="24"/>
                <w:szCs w:val="24"/>
                <w:highlight w:val="none"/>
                <w14:textFill>
                  <w14:solidFill>
                    <w14:schemeClr w14:val="tx1"/>
                  </w14:solidFill>
                </w14:textFill>
              </w:rPr>
              <w:t>可选择一个或多个</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项目分别</w:t>
            </w:r>
            <w:r>
              <w:rPr>
                <w:rFonts w:hint="eastAsia" w:ascii="宋体" w:hAnsi="宋体" w:eastAsia="宋体" w:cs="宋体"/>
                <w:color w:val="000000" w:themeColor="text1"/>
                <w:sz w:val="24"/>
                <w:szCs w:val="24"/>
                <w:highlight w:val="none"/>
                <w14:textFill>
                  <w14:solidFill>
                    <w14:schemeClr w14:val="tx1"/>
                  </w14:solidFill>
                </w14:textFill>
              </w:rPr>
              <w:t>进行登记。</w:t>
            </w:r>
          </w:p>
          <w:p w14:paraId="392CC8D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登记申请时填写的</w:t>
            </w:r>
            <w:r>
              <w:rPr>
                <w:rFonts w:hint="eastAsia" w:ascii="宋体" w:hAnsi="宋体" w:eastAsia="宋体" w:cs="宋体"/>
                <w:b/>
                <w:bCs/>
                <w:color w:val="000000" w:themeColor="text1"/>
                <w:sz w:val="24"/>
                <w:szCs w:val="24"/>
                <w:highlight w:val="none"/>
                <w:lang w:eastAsia="zh-CN"/>
                <w14:textFill>
                  <w14:solidFill>
                    <w14:schemeClr w14:val="tx1"/>
                  </w14:solidFill>
                </w14:textFill>
              </w:rPr>
              <w:t>交易保证金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交</w:t>
            </w:r>
            <w:r>
              <w:rPr>
                <w:rFonts w:hint="eastAsia" w:ascii="宋体" w:hAnsi="宋体" w:eastAsia="宋体" w:cs="宋体"/>
                <w:b/>
                <w:bCs/>
                <w:color w:val="000000" w:themeColor="text1"/>
                <w:sz w:val="24"/>
                <w:szCs w:val="24"/>
                <w:highlight w:val="none"/>
                <w14:textFill>
                  <w14:solidFill>
                    <w14:schemeClr w14:val="tx1"/>
                  </w14:solidFill>
                </w14:textFill>
              </w:rPr>
              <w:t>款账户须与意向</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方</w:t>
            </w:r>
            <w:r>
              <w:rPr>
                <w:rFonts w:hint="eastAsia" w:ascii="宋体" w:hAnsi="宋体" w:eastAsia="宋体" w:cs="宋体"/>
                <w:b/>
                <w:bCs/>
                <w:color w:val="000000" w:themeColor="text1"/>
                <w:sz w:val="24"/>
                <w:szCs w:val="24"/>
                <w:highlight w:val="none"/>
                <w14:textFill>
                  <w14:solidFill>
                    <w14:schemeClr w14:val="tx1"/>
                  </w14:solidFill>
                </w14:textFill>
              </w:rPr>
              <w:t>实际</w:t>
            </w:r>
            <w:r>
              <w:rPr>
                <w:rFonts w:hint="eastAsia" w:ascii="宋体" w:hAnsi="宋体" w:eastAsia="宋体" w:cs="宋体"/>
                <w:b/>
                <w:bCs/>
                <w:color w:val="000000" w:themeColor="text1"/>
                <w:sz w:val="24"/>
                <w:szCs w:val="24"/>
                <w:highlight w:val="none"/>
                <w:lang w:eastAsia="zh-CN"/>
                <w14:textFill>
                  <w14:solidFill>
                    <w14:schemeClr w14:val="tx1"/>
                  </w14:solidFill>
                </w14:textFill>
              </w:rPr>
              <w:t>交纳交易保证金</w:t>
            </w:r>
            <w:r>
              <w:rPr>
                <w:rFonts w:hint="eastAsia" w:ascii="宋体" w:hAnsi="宋体" w:eastAsia="宋体" w:cs="宋体"/>
                <w:b/>
                <w:bCs/>
                <w:color w:val="000000" w:themeColor="text1"/>
                <w:sz w:val="24"/>
                <w:szCs w:val="24"/>
                <w:highlight w:val="none"/>
                <w14:textFill>
                  <w14:solidFill>
                    <w14:schemeClr w14:val="tx1"/>
                  </w14:solidFill>
                </w14:textFill>
              </w:rPr>
              <w:t>的银行账户一致。</w:t>
            </w:r>
          </w:p>
        </w:tc>
      </w:tr>
      <w:tr w14:paraId="77F73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659AF70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交易保证金交纳</w:t>
            </w:r>
          </w:p>
        </w:tc>
        <w:tc>
          <w:tcPr>
            <w:tcW w:w="8477" w:type="dxa"/>
            <w:gridSpan w:val="6"/>
            <w:shd w:val="clear" w:color="auto" w:fill="auto"/>
            <w:vAlign w:val="center"/>
          </w:tcPr>
          <w:p w14:paraId="6413776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登记成功后，须通过项目登记时填写的己方账号以转账的方式汇入</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项目</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对应</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账号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足额的交易保证金。</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不得通过现金</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汇款</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方式</w:t>
            </w:r>
            <w:r>
              <w:rPr>
                <w:rFonts w:hint="eastAsia" w:ascii="宋体" w:hAnsi="宋体" w:eastAsia="宋体" w:cs="宋体"/>
                <w:b/>
                <w:bCs/>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交易保证金。</w:t>
            </w:r>
          </w:p>
          <w:p w14:paraId="2ACF9F3D">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账</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号</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如下：</w:t>
            </w:r>
          </w:p>
          <w:tbl>
            <w:tblPr>
              <w:tblStyle w:val="13"/>
              <w:tblW w:w="8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2158"/>
              <w:gridCol w:w="3410"/>
            </w:tblGrid>
            <w:tr w14:paraId="1A63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2684" w:type="dxa"/>
                  <w:vAlign w:val="center"/>
                </w:tcPr>
                <w:p w14:paraId="457EA6D1">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户名：安徽省农村综合产权交易所有限公司</w:t>
                  </w:r>
                </w:p>
              </w:tc>
              <w:tc>
                <w:tcPr>
                  <w:tcW w:w="2158" w:type="dxa"/>
                  <w:vAlign w:val="center"/>
                </w:tcPr>
                <w:p w14:paraId="4F3A4C0E">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开户</w:t>
                  </w:r>
                  <w:r>
                    <w:rPr>
                      <w:rFonts w:hint="eastAsia" w:ascii="宋体" w:hAnsi="宋体" w:cs="宋体"/>
                      <w:b w:val="0"/>
                      <w:bCs/>
                      <w:color w:val="000000" w:themeColor="text1"/>
                      <w:kern w:val="0"/>
                      <w:sz w:val="24"/>
                      <w:szCs w:val="24"/>
                      <w:highlight w:val="none"/>
                      <w:shd w:val="clear" w:color="auto" w:fill="auto"/>
                      <w:lang w:val="en-US" w:eastAsia="zh-CN"/>
                      <w14:textFill>
                        <w14:solidFill>
                          <w14:schemeClr w14:val="tx1"/>
                        </w14:solidFill>
                      </w14:textFill>
                    </w:rPr>
                    <w:t>银</w:t>
                  </w: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行：光大银行合肥阜南路支行</w:t>
                  </w:r>
                </w:p>
              </w:tc>
              <w:tc>
                <w:tcPr>
                  <w:tcW w:w="3410" w:type="dxa"/>
                  <w:vAlign w:val="center"/>
                </w:tcPr>
                <w:p w14:paraId="3515F5A5">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宋体" w:hAnsi="宋体" w:eastAsia="宋体" w:cs="宋体"/>
                      <w:b/>
                      <w:bCs w:val="0"/>
                      <w:color w:val="000000" w:themeColor="text1"/>
                      <w:kern w:val="0"/>
                      <w:sz w:val="24"/>
                      <w:szCs w:val="24"/>
                      <w:highlight w:val="none"/>
                      <w:shd w:val="clear" w:color="auto" w:fill="auto"/>
                      <w:lang w:val="en-US" w:eastAsia="zh-CN"/>
                      <w14:textFill>
                        <w14:solidFill>
                          <w14:schemeClr w14:val="tx1"/>
                        </w14:solidFill>
                      </w14:textFill>
                    </w:rPr>
                  </w:pPr>
                  <w:r>
                    <w:rPr>
                      <w:rFonts w:hint="eastAsia" w:ascii="宋体" w:hAnsi="宋体" w:eastAsia="宋体" w:cs="宋体"/>
                      <w:b w:val="0"/>
                      <w:bCs/>
                      <w:color w:val="000000" w:themeColor="text1"/>
                      <w:kern w:val="0"/>
                      <w:sz w:val="24"/>
                      <w:szCs w:val="24"/>
                      <w:highlight w:val="none"/>
                      <w:shd w:val="clear" w:color="auto" w:fill="auto"/>
                      <w14:textFill>
                        <w14:solidFill>
                          <w14:schemeClr w14:val="tx1"/>
                        </w14:solidFill>
                      </w14:textFill>
                    </w:rPr>
                    <w:t>账号</w:t>
                  </w:r>
                  <w:r>
                    <w:rPr>
                      <w:rFonts w:hint="eastAsia" w:ascii="宋体" w:hAnsi="宋体" w:cs="宋体"/>
                      <w:b w:val="0"/>
                      <w:bCs/>
                      <w:color w:val="000000" w:themeColor="text1"/>
                      <w:kern w:val="0"/>
                      <w:sz w:val="24"/>
                      <w:szCs w:val="24"/>
                      <w:highlight w:val="none"/>
                      <w:shd w:val="clear" w:color="auto" w:fill="auto"/>
                      <w:lang w:eastAsia="zh-CN"/>
                      <w14:textFill>
                        <w14:solidFill>
                          <w14:schemeClr w14:val="tx1"/>
                        </w14:solidFill>
                      </w14:textFill>
                    </w:rPr>
                    <w:t>：76700188017680609</w:t>
                  </w:r>
                </w:p>
              </w:tc>
            </w:tr>
          </w:tbl>
          <w:p w14:paraId="10A1B4C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支付完成后，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登录</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安徽公共资源交易集团电子交易系统点击“保证金查询”查看</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支付状态。若显示“未支付”，可点击查询</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按钮</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刷新支付状态。若刷新后</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支付状态仍显示“未支付”的，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可在公告截止前及时联系</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技术咨询电话：</w:t>
            </w:r>
            <w:r>
              <w:rPr>
                <w:rFonts w:ascii="宋体" w:hAnsi="宋体" w:cs="宋体"/>
                <w:color w:val="000000" w:themeColor="text1"/>
                <w:sz w:val="24"/>
                <w:highlight w:val="none"/>
                <w14:textFill>
                  <w14:solidFill>
                    <w14:schemeClr w14:val="tx1"/>
                  </w14:solidFill>
                </w14:textFill>
              </w:rPr>
              <w:t>0512-58188516</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进行反馈。</w:t>
            </w:r>
          </w:p>
          <w:p w14:paraId="32B229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color w:val="000000" w:themeColor="text1"/>
                <w:kern w:val="0"/>
                <w:sz w:val="24"/>
                <w:szCs w:val="24"/>
                <w:highlight w:val="none"/>
                <w:shd w:val="clear" w:color="auto" w:fill="auto"/>
                <w14:textFill>
                  <w14:solidFill>
                    <w14:schemeClr w14:val="tx1"/>
                  </w14:solidFill>
                </w14:textFill>
              </w:rPr>
              <w:t>注意事项：</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支付以到账时间为准，</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须确保</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的交易保证金在公告截止时间前到账，网上登记系统将在到达公告截止时间时自动关闭。如因账号错误、</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数额不足、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未在规定时间内到账、现金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缴款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等原因造成未能登记及竞价成功，</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tc>
      </w:tr>
      <w:tr w14:paraId="471A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86" w:type="dxa"/>
            <w:shd w:val="clear" w:color="auto" w:fill="auto"/>
            <w:vAlign w:val="center"/>
          </w:tcPr>
          <w:p w14:paraId="43119E4A">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项目竞价</w:t>
            </w:r>
          </w:p>
        </w:tc>
        <w:tc>
          <w:tcPr>
            <w:tcW w:w="8477" w:type="dxa"/>
            <w:gridSpan w:val="6"/>
            <w:shd w:val="clear" w:color="auto" w:fill="auto"/>
            <w:vAlign w:val="center"/>
          </w:tcPr>
          <w:p w14:paraId="202F154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状态为“已支付”的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方可点击“进入竞价系统”参与竞价活动。</w:t>
            </w:r>
          </w:p>
          <w:p w14:paraId="35CDEF3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2.竞价规则详见</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i w:val="0"/>
                <w:iCs w:val="0"/>
                <w:caps w:val="0"/>
                <w:color w:val="000000" w:themeColor="text1"/>
                <w:spacing w:val="0"/>
                <w:kern w:val="0"/>
                <w:sz w:val="24"/>
                <w:szCs w:val="24"/>
                <w:highlight w:val="none"/>
                <w:shd w:val="clear" w:color="auto" w:fill="auto"/>
                <w14:textFill>
                  <w14:solidFill>
                    <w14:schemeClr w14:val="tx1"/>
                  </w14:solidFill>
                </w14:textFill>
              </w:rPr>
              <w:t>网络一次性报价须知</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本公告</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上传</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附件</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p>
          <w:p w14:paraId="37F08605">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.如</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标的有优先权人的，</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优先权人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须按照上述要求及时办理注册、登记及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后</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，方可进入竞价系统行使优先权。逾期或者未按规定完成上述流程视同放弃优先权</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p>
          <w:p w14:paraId="70F0BF08">
            <w:pPr>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jc w:val="both"/>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重要提示：</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请使用IE10及以上版本浏览器登录竞价系统，否则可能导致异常。</w:t>
            </w:r>
          </w:p>
        </w:tc>
      </w:tr>
      <w:tr w14:paraId="200D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439FA450">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注：</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须在公告期内完成注册、登记及</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交易保证金交纳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手续，因未在规定时</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间内</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完成上述手续造成无法参与竞价的，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不承担任何责任。上述注册、登记及竞价等具体操作流程</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详见</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农村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产权交易操作手册》</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本公告上传附件）。</w:t>
            </w:r>
          </w:p>
        </w:tc>
      </w:tr>
      <w:tr w14:paraId="7FAE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9963" w:type="dxa"/>
            <w:gridSpan w:val="7"/>
            <w:shd w:val="clear" w:color="auto" w:fill="auto"/>
            <w:vAlign w:val="center"/>
          </w:tcPr>
          <w:p w14:paraId="3C23B59E">
            <w:pPr>
              <w:pStyle w:val="10"/>
              <w:keepNext w:val="0"/>
              <w:keepLines w:val="0"/>
              <w:pageBreakBefore w:val="0"/>
              <w:kinsoku/>
              <w:wordWrap/>
              <w:overflowPunct/>
              <w:topLinePunct w:val="0"/>
              <w:autoSpaceDE/>
              <w:autoSpaceDN/>
              <w:bidi w:val="0"/>
              <w:adjustRightInd/>
              <w:snapToGrid/>
              <w:spacing w:before="0" w:beforeAutospacing="0" w:after="0" w:afterAutospacing="0"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六、竞价结束后相关程序</w:t>
            </w:r>
          </w:p>
        </w:tc>
      </w:tr>
      <w:tr w14:paraId="28537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6EB66526">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结果</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公告及《成交确认书》</w:t>
            </w:r>
          </w:p>
        </w:tc>
        <w:tc>
          <w:tcPr>
            <w:tcW w:w="8477" w:type="dxa"/>
            <w:gridSpan w:val="6"/>
            <w:shd w:val="clear" w:color="auto" w:fill="auto"/>
            <w:vAlign w:val="center"/>
          </w:tcPr>
          <w:p w14:paraId="3AE0655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1.</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竞价结束且无异常情况，</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将在网站上发布</w:t>
            </w:r>
            <w:r>
              <w:rPr>
                <w:rFonts w:hint="eastAsia" w:ascii="宋体" w:hAnsi="宋体" w:eastAsia="宋体" w:cs="宋体"/>
                <w:b w:val="0"/>
                <w:bCs w:val="0"/>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p>
          <w:p w14:paraId="71CA5E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2.</w:t>
            </w:r>
            <w:r>
              <w:rPr>
                <w:rFonts w:hint="eastAsia" w:ascii="宋体" w:hAnsi="宋体" w:cs="宋体"/>
                <w:b w:val="0"/>
                <w:bCs w:val="0"/>
                <w:color w:val="000000" w:themeColor="text1"/>
                <w:kern w:val="0"/>
                <w:sz w:val="24"/>
                <w:szCs w:val="24"/>
                <w:highlight w:val="none"/>
                <w:shd w:val="clear" w:color="auto" w:fill="auto"/>
                <w:lang w:val="en-US" w:eastAsia="zh-CN"/>
                <w14:textFill>
                  <w14:solidFill>
                    <w14:schemeClr w14:val="tx1"/>
                  </w14:solidFill>
                </w14:textFill>
              </w:rPr>
              <w:t>结果公告发布后，</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将通过电子交易系统向</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成交人</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发出即视为送达</w:t>
            </w:r>
            <w:r>
              <w:rPr>
                <w:rFonts w:hint="eastAsia" w:ascii="宋体" w:hAnsi="宋体" w:cs="宋体"/>
                <w:b w:val="0"/>
                <w:bCs w:val="0"/>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成交</w:t>
            </w:r>
            <w:r>
              <w:rPr>
                <w:rFonts w:hint="eastAsia" w:ascii="宋体" w:hAnsi="宋体" w:eastAsia="宋体" w:cs="宋体"/>
                <w:b w:val="0"/>
                <w:bCs w:val="0"/>
                <w:color w:val="000000" w:themeColor="text1"/>
                <w:kern w:val="0"/>
                <w:sz w:val="24"/>
                <w:szCs w:val="24"/>
                <w:highlight w:val="none"/>
                <w:shd w:val="clear" w:color="auto" w:fill="auto"/>
                <w14:textFill>
                  <w14:solidFill>
                    <w14:schemeClr w14:val="tx1"/>
                  </w14:solidFill>
                </w14:textFill>
              </w:rPr>
              <w:t>人</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请登录电子交易系统领取</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《成交确认书》</w:t>
            </w:r>
            <w:r>
              <w:rPr>
                <w:rFonts w:hint="eastAsia" w:ascii="宋体" w:hAnsi="宋体" w:eastAsia="宋体" w:cs="宋体"/>
                <w:b w:val="0"/>
                <w:bCs w:val="0"/>
                <w:color w:val="000000" w:themeColor="text1"/>
                <w:kern w:val="0"/>
                <w:sz w:val="24"/>
                <w:szCs w:val="24"/>
                <w:highlight w:val="none"/>
                <w:shd w:val="clear" w:color="auto" w:fill="auto"/>
                <w:lang w:val="en-US" w:eastAsia="zh-CN"/>
                <w14:textFill>
                  <w14:solidFill>
                    <w14:schemeClr w14:val="tx1"/>
                  </w14:solidFill>
                </w14:textFill>
              </w:rPr>
              <w:t>。</w:t>
            </w:r>
          </w:p>
        </w:tc>
      </w:tr>
      <w:tr w14:paraId="1ACB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486" w:type="dxa"/>
            <w:shd w:val="clear" w:color="auto" w:fill="auto"/>
            <w:vAlign w:val="center"/>
          </w:tcPr>
          <w:p w14:paraId="31FBAD2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交易保证金处置</w:t>
            </w:r>
          </w:p>
        </w:tc>
        <w:tc>
          <w:tcPr>
            <w:tcW w:w="8477" w:type="dxa"/>
            <w:gridSpan w:val="6"/>
            <w:shd w:val="clear" w:color="auto" w:fill="auto"/>
            <w:vAlign w:val="center"/>
          </w:tcPr>
          <w:p w14:paraId="417931E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1.合同签订</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生效后，流入方交纳的交易保证金扣除交易服务费后的剩余款项可转为首期</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流转价款</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交纳</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的</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在</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结果公告</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发布之日起5个工作日内原额原途径返还</w:t>
            </w:r>
            <w:r>
              <w:rPr>
                <w:rFonts w:hint="eastAsia" w:ascii="宋体" w:hAnsi="宋体" w:eastAsia="宋体" w:cs="宋体"/>
                <w:b/>
                <w:bCs/>
                <w:color w:val="000000" w:themeColor="text1"/>
                <w:kern w:val="0"/>
                <w:sz w:val="24"/>
                <w:szCs w:val="24"/>
                <w:highlight w:val="none"/>
                <w:shd w:val="clear" w:color="auto" w:fill="auto"/>
                <w14:textFill>
                  <w14:solidFill>
                    <w14:schemeClr w14:val="tx1"/>
                  </w14:solidFill>
                </w14:textFill>
              </w:rPr>
              <w:t>（</w:t>
            </w:r>
            <w:r>
              <w:rPr>
                <w:rFonts w:hint="eastAsia" w:ascii="宋体" w:hAnsi="宋体" w:eastAsia="宋体" w:cs="宋体"/>
                <w:b/>
                <w:bCs/>
                <w:color w:val="000000" w:themeColor="text1"/>
                <w:kern w:val="0"/>
                <w:sz w:val="24"/>
                <w:szCs w:val="24"/>
                <w:highlight w:val="none"/>
                <w:shd w:val="clear" w:color="auto" w:fill="auto"/>
                <w:lang w:val="en-US" w:eastAsia="zh-CN"/>
                <w14:textFill>
                  <w14:solidFill>
                    <w14:schemeClr w14:val="tx1"/>
                  </w14:solidFill>
                </w14:textFill>
              </w:rPr>
              <w:t>不计利息）</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w:t>
            </w:r>
          </w:p>
          <w:p w14:paraId="10430E1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交易保证金</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只退还至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交</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款账户。因收款人与</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名称不一致造成的交易保证金无法退还或迟延退还，</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不承担任何责任。</w:t>
            </w:r>
          </w:p>
          <w:p w14:paraId="50F3B81C">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3.经监督部门调查认定出现下列情形之一的不良行为，交易保证金不予返还，交易保证金扣除交易双方交易服务费后，余款转至委托方指定的账户。</w:t>
            </w:r>
          </w:p>
          <w:p w14:paraId="66A8E76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（1）意向方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提供虚假材料，骗取成交资格或实现其他非法目的；</w:t>
            </w:r>
          </w:p>
          <w:p w14:paraId="22A25CA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（2）意向方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之间相互串通的；</w:t>
            </w:r>
          </w:p>
          <w:p w14:paraId="70D2553F">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（3）意向方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采取不正当手段影响和干扰其他</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参与交易活动的；</w:t>
            </w:r>
          </w:p>
          <w:p w14:paraId="1E41CBF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（4）</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无正当理由放弃成交资格的；</w:t>
            </w:r>
          </w:p>
          <w:p w14:paraId="3B744C48">
            <w:pPr>
              <w:keepNext w:val="0"/>
              <w:keepLines w:val="0"/>
              <w:pageBreakBefore w:val="0"/>
              <w:kinsoku/>
              <w:wordWrap/>
              <w:overflowPunct/>
              <w:topLinePunct w:val="0"/>
              <w:autoSpaceDE/>
              <w:autoSpaceDN/>
              <w:bidi w:val="0"/>
              <w:adjustRightInd/>
              <w:snapToGrid/>
              <w:spacing w:line="400" w:lineRule="exact"/>
              <w:textAlignment w:val="auto"/>
              <w:rPr>
                <w:rFonts w:hint="eastAsia"/>
                <w:color w:val="000000" w:themeColor="text1"/>
                <w:highlight w:val="none"/>
                <w14:textFill>
                  <w14:solidFill>
                    <w14:schemeClr w14:val="tx1"/>
                  </w14:solidFill>
                </w14:textFill>
              </w:rPr>
            </w:pP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（5）</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流入方</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未按交易文件约定交纳履约保证金或未按交易文件约定</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签订</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《土地流转合同》的。</w:t>
            </w:r>
          </w:p>
        </w:tc>
      </w:tr>
      <w:tr w14:paraId="45165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040775C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宋体" w:asciiTheme="minorEastAsia" w:hAnsiTheme="minorEastAsia" w:eastAsiaTheme="minorEastAsia"/>
                <w:color w:val="000000" w:themeColor="text1"/>
                <w:kern w:val="0"/>
                <w:sz w:val="24"/>
                <w:szCs w:val="24"/>
                <w:highlight w:val="none"/>
                <w14:textFill>
                  <w14:solidFill>
                    <w14:schemeClr w14:val="tx1"/>
                  </w14:solidFill>
                </w14:textFill>
              </w:rPr>
              <w:t>异议方式</w:t>
            </w:r>
          </w:p>
        </w:tc>
        <w:tc>
          <w:tcPr>
            <w:tcW w:w="8477" w:type="dxa"/>
            <w:gridSpan w:val="6"/>
            <w:tcMar>
              <w:top w:w="0" w:type="dxa"/>
              <w:left w:w="108" w:type="dxa"/>
              <w:bottom w:w="0" w:type="dxa"/>
              <w:right w:w="108" w:type="dxa"/>
            </w:tcMar>
            <w:vAlign w:val="center"/>
          </w:tcPr>
          <w:p w14:paraId="5987A27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若对</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公告有异议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可自</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结果</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公告发布次日起3个工作日内</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以书面形式提出异议</w:t>
            </w:r>
            <w:r>
              <w:rPr>
                <w:rFonts w:hint="eastAsia" w:ascii="宋体" w:hAnsi="宋体" w:eastAsia="宋体" w:cs="宋体"/>
                <w:color w:val="000000" w:themeColor="text1"/>
                <w:kern w:val="0"/>
                <w:sz w:val="24"/>
                <w:szCs w:val="24"/>
                <w:highlight w:val="none"/>
                <w:shd w:val="clear" w:color="auto" w:fill="auto"/>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异议材料递交地址</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：合肥市新站区学府路1516号智慧产业园A14号楼5层，联系电话：0551-65777671</w:t>
            </w:r>
            <w:r>
              <w:rPr>
                <w:rFonts w:hint="eastAsia" w:ascii="宋体" w:hAnsi="宋体" w:eastAsia="宋体" w:cs="宋体"/>
                <w:color w:val="000000" w:themeColor="text1"/>
                <w:kern w:val="0"/>
                <w:sz w:val="24"/>
                <w:szCs w:val="24"/>
                <w:highlight w:val="none"/>
                <w:lang w:eastAsia="zh-CN"/>
                <w14:textFill>
                  <w14:solidFill>
                    <w14:schemeClr w14:val="tx1"/>
                  </w14:solidFill>
                </w14:textFill>
              </w:rPr>
              <w:t>。</w:t>
            </w:r>
          </w:p>
          <w:p w14:paraId="0306573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（一）异议应以书面形式实名提出，书面异议材料应当包括以下内容：</w:t>
            </w:r>
          </w:p>
          <w:p w14:paraId="78EF7E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1.异议人的名称/姓名、地址、有效联系方式；</w:t>
            </w:r>
          </w:p>
          <w:p w14:paraId="3CEDCAC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2.项目名称、项目编号、标的号（如有）；</w:t>
            </w:r>
          </w:p>
          <w:p w14:paraId="1CD104E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3.被异议人名称/姓名；</w:t>
            </w:r>
          </w:p>
          <w:p w14:paraId="297522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4.具体的异议事项、基本事实及必要的证明材料；</w:t>
            </w:r>
          </w:p>
          <w:p w14:paraId="44B3DC7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5.明确的请求及主张；</w:t>
            </w:r>
          </w:p>
          <w:p w14:paraId="27397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6.提起异议的日期。</w:t>
            </w:r>
          </w:p>
          <w:p w14:paraId="4DFDB93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异议人为自然人的，应当由异议人本人签字并附有效身份证明；异议人为法人或者其他组织的，应当由法定代表人或其委托代理人（需有委托授权书）签字并加盖公章。</w:t>
            </w:r>
          </w:p>
          <w:p w14:paraId="1144EC2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异议人需要修改、补充异议材料的，应当在异议期内提交修改或补充材料。</w:t>
            </w:r>
          </w:p>
          <w:p w14:paraId="5537884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（二）有下列情形之一的，不予受理：</w:t>
            </w:r>
          </w:p>
          <w:p w14:paraId="3D81A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1.提起异议的主体不是所异议项目竞价人的；</w:t>
            </w:r>
          </w:p>
          <w:p w14:paraId="09014C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2.异议材料不完整的；</w:t>
            </w:r>
          </w:p>
          <w:p w14:paraId="5F0A4E9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3.异议事项含有主观猜测等内容且未提供有效线索、难以查证的；</w:t>
            </w:r>
          </w:p>
          <w:p w14:paraId="44B3D2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4.异议事项已进入投诉处理、行政复议或行政诉讼程序的。</w:t>
            </w:r>
          </w:p>
          <w:p w14:paraId="7D5D0CB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（三）若异议人对异议处理意见有异议，可在答复期满后7个工作日内以书面形式向交易监督部门提出投诉。</w:t>
            </w:r>
          </w:p>
        </w:tc>
      </w:tr>
      <w:tr w14:paraId="178C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427EACA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cs="Arial" w:asciiTheme="minorEastAsia" w:hAnsiTheme="minorEastAsia" w:eastAsiaTheme="minorEastAsia"/>
                <w:color w:val="000000" w:themeColor="text1"/>
                <w:kern w:val="0"/>
                <w:sz w:val="24"/>
                <w:szCs w:val="24"/>
                <w:highlight w:val="none"/>
                <w14:textFill>
                  <w14:solidFill>
                    <w14:schemeClr w14:val="tx1"/>
                  </w14:solidFill>
                </w14:textFill>
              </w:rPr>
              <w:t>交易服务费收取</w:t>
            </w:r>
          </w:p>
        </w:tc>
        <w:tc>
          <w:tcPr>
            <w:tcW w:w="8477" w:type="dxa"/>
            <w:gridSpan w:val="6"/>
            <w:tcMar>
              <w:top w:w="0" w:type="dxa"/>
              <w:left w:w="108" w:type="dxa"/>
              <w:bottom w:w="0" w:type="dxa"/>
              <w:right w:w="108" w:type="dxa"/>
            </w:tcMar>
            <w:vAlign w:val="center"/>
          </w:tcPr>
          <w:p w14:paraId="4D62DA20">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交易服务费按“差额定率累进法”计算，向</w:t>
            </w:r>
            <w:r>
              <w:rPr>
                <w:rFonts w:hint="eastAsia" w:ascii="宋体" w:hAnsi="宋体" w:cs="宋体"/>
                <w:color w:val="000000" w:themeColor="text1"/>
                <w:kern w:val="0"/>
                <w:sz w:val="24"/>
                <w:szCs w:val="24"/>
                <w:highlight w:val="none"/>
                <w:lang w:val="en-US" w:eastAsia="zh-CN"/>
                <w14:textFill>
                  <w14:solidFill>
                    <w14:schemeClr w14:val="tx1"/>
                  </w14:solidFill>
                </w14:textFill>
              </w:rPr>
              <w:t>成交</w:t>
            </w: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方收取。</w:t>
            </w:r>
          </w:p>
          <w:p w14:paraId="284B217D">
            <w:pPr>
              <w:keepNext w:val="0"/>
              <w:keepLines w:val="0"/>
              <w:pageBreakBefore w:val="0"/>
              <w:kinsoku/>
              <w:wordWrap/>
              <w:overflowPunct/>
              <w:topLinePunct w:val="0"/>
              <w:autoSpaceDE/>
              <w:autoSpaceDN/>
              <w:bidi w:val="0"/>
              <w:adjustRightInd/>
              <w:snapToGrid/>
              <w:spacing w:line="400" w:lineRule="exac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具体标准：标的成交价（总价）：100万元及以下的部分，收取比例为0.4%；100万元以上至500万元的部分为0.32%；500万元以上至1000万元的部分为0.24%；1000万元以上至5000万元的部分为0.16%，5000万元以上的部分为0.08%</w:t>
            </w:r>
          </w:p>
        </w:tc>
      </w:tr>
      <w:tr w14:paraId="362F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jc w:val="center"/>
        </w:trPr>
        <w:tc>
          <w:tcPr>
            <w:tcW w:w="9963" w:type="dxa"/>
            <w:gridSpan w:val="7"/>
            <w:tcMar>
              <w:top w:w="0" w:type="dxa"/>
              <w:left w:w="108" w:type="dxa"/>
              <w:bottom w:w="0" w:type="dxa"/>
              <w:right w:w="108" w:type="dxa"/>
            </w:tcMar>
            <w:vAlign w:val="center"/>
          </w:tcPr>
          <w:p w14:paraId="0CE5179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七、其他说明</w:t>
            </w:r>
          </w:p>
        </w:tc>
      </w:tr>
      <w:tr w14:paraId="370BB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9963" w:type="dxa"/>
            <w:gridSpan w:val="7"/>
            <w:tcMar>
              <w:top w:w="0" w:type="dxa"/>
              <w:left w:w="108" w:type="dxa"/>
              <w:bottom w:w="0" w:type="dxa"/>
              <w:right w:w="108" w:type="dxa"/>
            </w:tcMar>
            <w:vAlign w:val="center"/>
          </w:tcPr>
          <w:p w14:paraId="445E470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1.</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可在公告截止之前工作时间内</w:t>
            </w:r>
            <w:r>
              <w:rPr>
                <w:rFonts w:hint="eastAsia" w:ascii="宋体" w:hAnsi="宋体" w:eastAsia="宋体" w:cs="宋体"/>
                <w:color w:val="000000" w:themeColor="text1"/>
                <w:kern w:val="0"/>
                <w:sz w:val="24"/>
                <w:szCs w:val="24"/>
                <w:highlight w:val="none"/>
                <w:shd w:val="clear" w:color="auto" w:fill="auto"/>
                <w:lang w:val="en-US" w:eastAsia="zh-CN"/>
                <w14:textFill>
                  <w14:solidFill>
                    <w14:schemeClr w14:val="tx1"/>
                  </w14:solidFill>
                </w14:textFill>
              </w:rPr>
              <w:t>至</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项目负责人处查阅委托方向</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提供的相关项目材料。上述材料均为参考性意见，不构成</w:t>
            </w:r>
            <w:r>
              <w:rPr>
                <w:rFonts w:hint="eastAsia" w:ascii="宋体" w:hAnsi="宋体" w:cs="宋体"/>
                <w:color w:val="000000" w:themeColor="text1"/>
                <w:kern w:val="0"/>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对</w:t>
            </w:r>
            <w:r>
              <w:rPr>
                <w:rFonts w:hint="eastAsia" w:ascii="宋体" w:hAnsi="宋体" w:cs="宋体"/>
                <w:color w:val="000000" w:themeColor="text1"/>
                <w:kern w:val="0"/>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kern w:val="0"/>
                <w:sz w:val="24"/>
                <w:szCs w:val="24"/>
                <w:highlight w:val="none"/>
                <w:shd w:val="clear" w:color="auto" w:fill="auto"/>
                <w14:textFill>
                  <w14:solidFill>
                    <w14:schemeClr w14:val="tx1"/>
                  </w14:solidFill>
                </w14:textFill>
              </w:rPr>
              <w:t>标的的任何担保责任。</w:t>
            </w:r>
          </w:p>
          <w:p w14:paraId="30C5B11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2.对本项目公告内容要求澄清或有异议的</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，应于公告截止日</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的</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3个工作日</w:t>
            </w:r>
            <w:r>
              <w:rPr>
                <w:rFonts w:hint="eastAsia" w:ascii="宋体" w:hAnsi="宋体" w:eastAsia="宋体" w:cs="宋体"/>
                <w:color w:val="000000" w:themeColor="text1"/>
                <w:sz w:val="24"/>
                <w:szCs w:val="24"/>
                <w:highlight w:val="none"/>
                <w:shd w:val="clear" w:color="auto" w:fill="auto"/>
                <w:lang w:val="en-US" w:eastAsia="zh-CN"/>
                <w14:textFill>
                  <w14:solidFill>
                    <w14:schemeClr w14:val="tx1"/>
                  </w14:solidFill>
                </w14:textFill>
              </w:rPr>
              <w:t>内</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，以书面形式向</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提出，逾期递交的不予受理。</w:t>
            </w:r>
          </w:p>
          <w:p w14:paraId="1A98072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 w:val="24"/>
                <w:szCs w:val="24"/>
                <w:highlight w:val="none"/>
                <w:shd w:val="clear" w:color="auto" w:fill="auto"/>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3.</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对本公告进行的澄清、更正或更改，将在网站上及时发布（网址：http://ggzy.hefei.gov.cn、http://www.ahaee.com/），该公告内容为</w:t>
            </w: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流转</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公告的组成部分，对</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具有约束力。</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应主动上网查询</w:t>
            </w:r>
            <w:r>
              <w:rPr>
                <w:rFonts w:hint="eastAsia" w:ascii="宋体" w:hAnsi="宋体" w:eastAsia="宋体" w:cs="宋体"/>
                <w:color w:val="000000" w:themeColor="text1"/>
                <w:sz w:val="24"/>
                <w:szCs w:val="24"/>
                <w:highlight w:val="none"/>
                <w:shd w:val="clear" w:color="auto" w:fill="auto"/>
                <w:lang w:eastAsia="zh-CN"/>
                <w14:textFill>
                  <w14:solidFill>
                    <w14:schemeClr w14:val="tx1"/>
                  </w14:solidFill>
                </w14:textFill>
              </w:rPr>
              <w:t>，</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不承担</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意向方</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未及时关注相关信息的责任。</w:t>
            </w:r>
          </w:p>
          <w:p w14:paraId="76A6D4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4.在公告截止时间前，</w:t>
            </w:r>
            <w:r>
              <w:rPr>
                <w:rFonts w:hint="eastAsia" w:ascii="宋体" w:hAnsi="宋体" w:cs="宋体"/>
                <w:color w:val="000000" w:themeColor="text1"/>
                <w:sz w:val="24"/>
                <w:szCs w:val="24"/>
                <w:highlight w:val="none"/>
                <w:shd w:val="clear" w:color="auto" w:fill="auto"/>
                <w:lang w:eastAsia="zh-CN"/>
                <w14:textFill>
                  <w14:solidFill>
                    <w14:schemeClr w14:val="tx1"/>
                  </w14:solidFill>
                </w14:textFill>
              </w:rPr>
              <w:t>安徽省农村综合产权交易所</w:t>
            </w:r>
            <w:r>
              <w:rPr>
                <w:rFonts w:hint="eastAsia" w:ascii="宋体" w:hAnsi="宋体" w:eastAsia="宋体" w:cs="宋体"/>
                <w:color w:val="000000" w:themeColor="text1"/>
                <w:sz w:val="24"/>
                <w:szCs w:val="24"/>
                <w:highlight w:val="none"/>
                <w:shd w:val="clear" w:color="auto" w:fill="auto"/>
                <w14:textFill>
                  <w14:solidFill>
                    <w14:schemeClr w14:val="tx1"/>
                  </w14:solidFill>
                </w14:textFill>
              </w:rPr>
              <w:t>可以视具体情况，延长公告截止时间，并在网站上发布变更公告。</w:t>
            </w:r>
          </w:p>
        </w:tc>
      </w:tr>
      <w:tr w14:paraId="1CBB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9963" w:type="dxa"/>
            <w:gridSpan w:val="7"/>
            <w:tcMar>
              <w:top w:w="0" w:type="dxa"/>
              <w:left w:w="108" w:type="dxa"/>
              <w:bottom w:w="0" w:type="dxa"/>
              <w:right w:w="108" w:type="dxa"/>
            </w:tcMar>
            <w:vAlign w:val="center"/>
          </w:tcPr>
          <w:p w14:paraId="44D2A5B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八、联系方式</w:t>
            </w:r>
          </w:p>
        </w:tc>
      </w:tr>
      <w:tr w14:paraId="74C0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3" w:hRule="atLeast"/>
          <w:jc w:val="center"/>
        </w:trPr>
        <w:tc>
          <w:tcPr>
            <w:tcW w:w="1486" w:type="dxa"/>
            <w:tcMar>
              <w:top w:w="0" w:type="dxa"/>
              <w:left w:w="108" w:type="dxa"/>
              <w:bottom w:w="0" w:type="dxa"/>
              <w:right w:w="108" w:type="dxa"/>
            </w:tcMar>
            <w:vAlign w:val="center"/>
          </w:tcPr>
          <w:p w14:paraId="6503933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现场踏勘</w:t>
            </w:r>
          </w:p>
          <w:p w14:paraId="63D55956">
            <w:pPr>
              <w:pStyle w:val="11"/>
              <w:ind w:left="0" w:leftChars="0" w:firstLine="0" w:firstLineChars="0"/>
              <w:rPr>
                <w:rFonts w:hint="eastAsia" w:eastAsia="宋体"/>
                <w:color w:val="000000" w:themeColor="text1"/>
                <w:highlight w:val="none"/>
                <w:lang w:eastAsia="zh-CN"/>
                <w14:textFill>
                  <w14:solidFill>
                    <w14:schemeClr w14:val="tx1"/>
                  </w14:solidFill>
                </w14:textFill>
              </w:rPr>
            </w:pP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委托方</w:t>
            </w:r>
            <w:r>
              <w:rPr>
                <w:rFonts w:hint="eastAsia" w:ascii="宋体" w:hAnsi="宋体" w:cs="宋体"/>
                <w:color w:val="auto"/>
                <w:kern w:val="0"/>
                <w:sz w:val="24"/>
                <w:szCs w:val="24"/>
                <w:highlight w:val="none"/>
                <w:lang w:eastAsia="zh-CN"/>
              </w:rPr>
              <w:t>）</w:t>
            </w:r>
          </w:p>
        </w:tc>
        <w:tc>
          <w:tcPr>
            <w:tcW w:w="8477" w:type="dxa"/>
            <w:gridSpan w:val="6"/>
            <w:vAlign w:val="center"/>
          </w:tcPr>
          <w:p w14:paraId="11EA6F3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auto"/>
                <w:kern w:val="0"/>
                <w:sz w:val="24"/>
                <w:szCs w:val="24"/>
                <w:highlight w:val="none"/>
              </w:rPr>
              <w:t>联系人</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陈晓云 </w:t>
            </w:r>
            <w:r>
              <w:rPr>
                <w:rFonts w:hint="eastAsia" w:ascii="宋体" w:hAnsi="宋体" w:eastAsia="宋体" w:cs="宋体"/>
                <w:kern w:val="0"/>
                <w:sz w:val="24"/>
                <w:szCs w:val="24"/>
                <w:highlight w:val="none"/>
              </w:rPr>
              <w:t>，</w:t>
            </w:r>
            <w:r>
              <w:rPr>
                <w:rFonts w:hint="eastAsia" w:ascii="宋体" w:hAnsi="宋体" w:eastAsia="宋体" w:cs="宋体"/>
                <w:color w:val="auto"/>
                <w:kern w:val="0"/>
                <w:sz w:val="24"/>
                <w:szCs w:val="24"/>
                <w:highlight w:val="none"/>
              </w:rPr>
              <w:t>联系电话</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0551-66335557</w:t>
            </w:r>
          </w:p>
        </w:tc>
      </w:tr>
      <w:tr w14:paraId="2897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1486" w:type="dxa"/>
            <w:tcMar>
              <w:top w:w="0" w:type="dxa"/>
              <w:left w:w="108" w:type="dxa"/>
              <w:bottom w:w="0" w:type="dxa"/>
              <w:right w:w="108" w:type="dxa"/>
            </w:tcMar>
            <w:vAlign w:val="center"/>
          </w:tcPr>
          <w:p w14:paraId="09D2E79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32"/>
                <w:highlight w:val="none"/>
                <w:lang w:val="en-US" w:eastAsia="zh-CN"/>
                <w14:textFill>
                  <w14:solidFill>
                    <w14:schemeClr w14:val="tx1"/>
                  </w14:solidFill>
                </w14:textFill>
              </w:rPr>
              <w:t>主体库登记</w:t>
            </w:r>
          </w:p>
        </w:tc>
        <w:tc>
          <w:tcPr>
            <w:tcW w:w="8477" w:type="dxa"/>
            <w:gridSpan w:val="6"/>
            <w:vAlign w:val="center"/>
          </w:tcPr>
          <w:p w14:paraId="69D44932">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shd w:val="clear" w:color="auto" w:fill="auto"/>
                <w14:textFill>
                  <w14:solidFill>
                    <w14:schemeClr w14:val="tx1"/>
                  </w14:solidFill>
                </w14:textFill>
              </w:rPr>
              <w:t>联系电话：010-86483801转6-1</w:t>
            </w:r>
          </w:p>
        </w:tc>
      </w:tr>
      <w:tr w14:paraId="38E3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atLeast"/>
          <w:jc w:val="center"/>
        </w:trPr>
        <w:tc>
          <w:tcPr>
            <w:tcW w:w="1486" w:type="dxa"/>
            <w:tcMar>
              <w:top w:w="0" w:type="dxa"/>
              <w:left w:w="108" w:type="dxa"/>
              <w:bottom w:w="0" w:type="dxa"/>
              <w:right w:w="108" w:type="dxa"/>
            </w:tcMar>
            <w:vAlign w:val="center"/>
          </w:tcPr>
          <w:p w14:paraId="3F06440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项目负责人</w:t>
            </w:r>
          </w:p>
        </w:tc>
        <w:tc>
          <w:tcPr>
            <w:tcW w:w="8477" w:type="dxa"/>
            <w:gridSpan w:val="6"/>
            <w:vAlign w:val="center"/>
          </w:tcPr>
          <w:p w14:paraId="74FA0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联系人：</w:t>
            </w:r>
            <w:r>
              <w:rPr>
                <w:rFonts w:hint="eastAsia" w:ascii="宋体" w:hAnsi="宋体" w:cs="宋体"/>
                <w:color w:val="000000" w:themeColor="text1"/>
                <w:kern w:val="0"/>
                <w:sz w:val="24"/>
                <w:szCs w:val="24"/>
                <w:highlight w:val="none"/>
                <w:lang w:val="en-US" w:eastAsia="zh-CN"/>
                <w14:textFill>
                  <w14:solidFill>
                    <w14:schemeClr w14:val="tx1"/>
                  </w14:solidFill>
                </w14:textFill>
              </w:rPr>
              <w:t>杨工</w:t>
            </w:r>
          </w:p>
          <w:p w14:paraId="5218A6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联系电话：</w:t>
            </w:r>
            <w:r>
              <w:rPr>
                <w:rFonts w:hint="eastAsia" w:ascii="宋体" w:hAnsi="宋体" w:cs="宋体"/>
                <w:color w:val="000000" w:themeColor="text1"/>
                <w:kern w:val="0"/>
                <w:sz w:val="24"/>
                <w:szCs w:val="24"/>
                <w:highlight w:val="none"/>
                <w:lang w:val="en-US" w:eastAsia="zh-CN"/>
                <w14:textFill>
                  <w14:solidFill>
                    <w14:schemeClr w14:val="tx1"/>
                  </w14:solidFill>
                </w14:textFill>
              </w:rPr>
              <w:t>0551-65777671</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p w14:paraId="68CAA8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联系地址：</w:t>
            </w:r>
            <w:r>
              <w:rPr>
                <w:rFonts w:hint="eastAsia" w:ascii="宋体" w:hAnsi="宋体" w:eastAsia="宋体" w:cs="宋体"/>
                <w:color w:val="000000" w:themeColor="text1"/>
                <w:kern w:val="0"/>
                <w:sz w:val="24"/>
                <w:szCs w:val="24"/>
                <w:highlight w:val="none"/>
                <w14:textFill>
                  <w14:solidFill>
                    <w14:schemeClr w14:val="tx1"/>
                  </w14:solidFill>
                </w14:textFill>
              </w:rPr>
              <w:t>合肥市新站区学府路1516号智慧产业园A14号楼</w:t>
            </w:r>
            <w:r>
              <w:rPr>
                <w:rFonts w:hint="eastAsia" w:ascii="宋体" w:hAnsi="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层</w:t>
            </w:r>
            <w:r>
              <w:rPr>
                <w:rFonts w:hint="eastAsia" w:ascii="宋体" w:hAnsi="宋体" w:cs="宋体"/>
                <w:color w:val="000000" w:themeColor="text1"/>
                <w:kern w:val="0"/>
                <w:sz w:val="24"/>
                <w:szCs w:val="24"/>
                <w:highlight w:val="none"/>
                <w:lang w:val="en-US" w:eastAsia="zh-CN"/>
                <w14:textFill>
                  <w14:solidFill>
                    <w14:schemeClr w14:val="tx1"/>
                  </w14:solidFill>
                </w14:textFill>
              </w:rPr>
              <w:t>615</w:t>
            </w:r>
            <w:r>
              <w:rPr>
                <w:rFonts w:hint="eastAsia" w:ascii="宋体" w:hAnsi="宋体" w:eastAsia="宋体" w:cs="宋体"/>
                <w:color w:val="000000" w:themeColor="text1"/>
                <w:kern w:val="0"/>
                <w:sz w:val="24"/>
                <w:szCs w:val="24"/>
                <w:highlight w:val="none"/>
                <w14:textFill>
                  <w14:solidFill>
                    <w14:schemeClr w14:val="tx1"/>
                  </w14:solidFill>
                </w14:textFill>
              </w:rPr>
              <w:t>室</w:t>
            </w:r>
          </w:p>
        </w:tc>
      </w:tr>
      <w:tr w14:paraId="299F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4EA0175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技术</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咨询电话</w:t>
            </w:r>
          </w:p>
        </w:tc>
        <w:tc>
          <w:tcPr>
            <w:tcW w:w="8477" w:type="dxa"/>
            <w:gridSpan w:val="6"/>
            <w:vAlign w:val="center"/>
          </w:tcPr>
          <w:p w14:paraId="5C1512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0512-58188516</w:t>
            </w:r>
          </w:p>
        </w:tc>
      </w:tr>
      <w:tr w14:paraId="54B2E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jc w:val="center"/>
        </w:trPr>
        <w:tc>
          <w:tcPr>
            <w:tcW w:w="1486" w:type="dxa"/>
            <w:tcMar>
              <w:top w:w="0" w:type="dxa"/>
              <w:left w:w="108" w:type="dxa"/>
              <w:bottom w:w="0" w:type="dxa"/>
              <w:right w:w="108" w:type="dxa"/>
            </w:tcMar>
            <w:vAlign w:val="center"/>
          </w:tcPr>
          <w:p w14:paraId="1E1DB33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shd w:val="clear" w:color="auto" w:fill="auto"/>
                <w:lang w:val="en-US" w:eastAsia="zh-CN"/>
                <w14:textFill>
                  <w14:solidFill>
                    <w14:schemeClr w14:val="tx1"/>
                  </w14:solidFill>
                </w14:textFill>
              </w:rPr>
              <w:t>交易监督部门</w:t>
            </w:r>
          </w:p>
        </w:tc>
        <w:tc>
          <w:tcPr>
            <w:tcW w:w="8477" w:type="dxa"/>
            <w:gridSpan w:val="6"/>
            <w:vAlign w:val="center"/>
          </w:tcPr>
          <w:p w14:paraId="4040CB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合肥新站高新技术产业开发区财政局</w:t>
            </w:r>
          </w:p>
          <w:p w14:paraId="6F06D5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联系方式：0551-65777650</w:t>
            </w:r>
          </w:p>
        </w:tc>
      </w:tr>
      <w:tr w14:paraId="303A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963" w:type="dxa"/>
            <w:gridSpan w:val="7"/>
            <w:shd w:val="clear" w:color="auto" w:fill="auto"/>
            <w:vAlign w:val="center"/>
          </w:tcPr>
          <w:p w14:paraId="77CF5D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本项目意向方如需咨询，务必首先认真阅读本项目公告，并针对具体条款进行咨询。</w:t>
            </w:r>
          </w:p>
          <w:p w14:paraId="56D7C1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本公告为本项目唯一法定文书，一切解释以本公告为准。本公告及其附件解释权归安徽省农村综合产权交易所。</w:t>
            </w:r>
          </w:p>
        </w:tc>
      </w:tr>
    </w:tbl>
    <w:p w14:paraId="79B5F05E">
      <w:pPr>
        <w:widowControl/>
        <w:ind w:firstLine="4320" w:firstLineChars="1350"/>
        <w:jc w:val="right"/>
        <w:rPr>
          <w:rFonts w:hint="default" w:cs="Arial" w:asciiTheme="minorEastAsia" w:hAnsiTheme="minorEastAsia" w:eastAsiaTheme="minorEastAsia"/>
          <w:color w:val="000000" w:themeColor="text1"/>
          <w:kern w:val="0"/>
          <w:sz w:val="32"/>
          <w:szCs w:val="32"/>
          <w:lang w:val="en-US" w:eastAsia="zh-CN"/>
          <w14:textFill>
            <w14:solidFill>
              <w14:schemeClr w14:val="tx1"/>
            </w14:solidFill>
          </w14:textFill>
        </w:rPr>
      </w:pPr>
      <w:bookmarkStart w:id="3" w:name="_GoBack"/>
      <w:bookmarkEnd w:id="3"/>
      <w:r>
        <w:rPr>
          <w:rFonts w:hint="eastAsia" w:cs="Arial" w:asciiTheme="minorEastAsia" w:hAnsiTheme="minorEastAsia" w:eastAsiaTheme="minorEastAsia"/>
          <w:color w:val="000000" w:themeColor="text1"/>
          <w:kern w:val="0"/>
          <w:sz w:val="32"/>
          <w:szCs w:val="32"/>
          <w14:textFill>
            <w14:solidFill>
              <w14:schemeClr w14:val="tx1"/>
            </w14:solidFill>
          </w14:textFill>
        </w:rPr>
        <w:t>安徽省农村综合产权交易所</w:t>
      </w:r>
      <w:r>
        <w:rPr>
          <w:rFonts w:hint="eastAsia" w:cs="Arial" w:asciiTheme="minorEastAsia" w:hAnsiTheme="minorEastAsia" w:eastAsiaTheme="minorEastAsia"/>
          <w:color w:val="000000" w:themeColor="text1"/>
          <w:kern w:val="0"/>
          <w:sz w:val="32"/>
          <w:szCs w:val="32"/>
          <w:lang w:val="en-US" w:eastAsia="zh-CN"/>
          <w14:textFill>
            <w14:solidFill>
              <w14:schemeClr w14:val="tx1"/>
            </w14:solidFill>
          </w14:textFill>
        </w:rPr>
        <w:t>新站分所</w:t>
      </w:r>
    </w:p>
    <w:p w14:paraId="4C8CDCFB">
      <w:pPr>
        <w:ind w:firstLine="4000" w:firstLineChars="1250"/>
        <w:rPr>
          <w:rFonts w:ascii="Times New Roman" w:hAnsi="Times New Roman" w:eastAsia="仿宋_GB2312" w:cs="Times New Roman"/>
          <w:snapToGrid w:val="0"/>
          <w:color w:val="000000" w:themeColor="text1"/>
          <w:sz w:val="32"/>
          <w:szCs w:val="32"/>
          <w:u w:val="single"/>
          <w14:textFill>
            <w14:solidFill>
              <w14:schemeClr w14:val="tx1"/>
            </w14:solidFill>
          </w14:textFill>
        </w:rPr>
      </w:pPr>
      <w:r>
        <w:rPr>
          <w:rFonts w:cs="Arial" w:asciiTheme="minorEastAsia" w:hAnsiTheme="minorEastAsia" w:eastAsiaTheme="minorEastAsia"/>
          <w:color w:val="000000" w:themeColor="text1"/>
          <w:kern w:val="0"/>
          <w:sz w:val="32"/>
          <w:szCs w:val="32"/>
          <w14:textFill>
            <w14:solidFill>
              <w14:schemeClr w14:val="tx1"/>
            </w14:solidFill>
          </w14:textFill>
        </w:rPr>
        <w:br w:type="page"/>
      </w:r>
      <w:bookmarkEnd w:id="0"/>
      <w:bookmarkEnd w:id="1"/>
    </w:p>
    <w:p w14:paraId="0CA6336F">
      <w:pPr>
        <w:adjustRightInd w:val="0"/>
        <w:snapToGrid w:val="0"/>
        <w:spacing w:line="600" w:lineRule="exact"/>
        <w:jc w:val="left"/>
        <w:rPr>
          <w:rFonts w:ascii="Times New Roman" w:hAnsi="Times New Roman" w:eastAsia="仿宋_GB2312" w:cs="Times New Roman"/>
          <w:snapToGrid w:val="0"/>
          <w:color w:val="000000" w:themeColor="text1"/>
          <w:sz w:val="32"/>
          <w:szCs w:val="32"/>
          <w14:textFill>
            <w14:solidFill>
              <w14:schemeClr w14:val="tx1"/>
            </w14:solidFill>
          </w14:textFill>
        </w:rPr>
      </w:pPr>
      <w:r>
        <w:rPr>
          <w:rFonts w:hint="eastAsia" w:eastAsia="仿宋_GB2312" w:cs="Times New Roman"/>
          <w:snapToGrid w:val="0"/>
          <w:color w:val="000000" w:themeColor="text1"/>
          <w:sz w:val="28"/>
          <w:szCs w:val="28"/>
          <w:lang w:val="en-US" w:eastAsia="zh-CN"/>
          <w14:textFill>
            <w14:solidFill>
              <w14:schemeClr w14:val="tx1"/>
            </w14:solidFill>
          </w14:textFill>
        </w:rPr>
        <w:t xml:space="preserve">（参考使用） </w:t>
      </w:r>
    </w:p>
    <w:p w14:paraId="35154BE1">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土地经营权流转合同</w:t>
      </w:r>
    </w:p>
    <w:p w14:paraId="4327180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themeColor="text1"/>
          <w:kern w:val="0"/>
          <w:sz w:val="32"/>
          <w:szCs w:val="32"/>
          <w14:textFill>
            <w14:solidFill>
              <w14:schemeClr w14:val="tx1"/>
            </w14:solidFill>
          </w14:textFill>
        </w:rPr>
      </w:pPr>
      <w:r>
        <w:rPr>
          <w:rFonts w:hint="eastAsia" w:ascii="宋体" w:hAnsi="宋体" w:eastAsia="宋体" w:cs="宋体"/>
          <w:color w:val="000000" w:themeColor="text1"/>
          <w:kern w:val="0"/>
          <w:sz w:val="32"/>
          <w:szCs w:val="32"/>
          <w14:textFill>
            <w14:solidFill>
              <w14:schemeClr w14:val="tx1"/>
            </w14:solidFill>
          </w14:textFill>
        </w:rPr>
        <w:t>（参照安徽省示范文本）</w:t>
      </w:r>
    </w:p>
    <w:p w14:paraId="5AD54A8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10A31B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合同编号：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89725D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签订日期：</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D6325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w:t>
      </w:r>
      <w:r>
        <w:rPr>
          <w:rFonts w:hint="eastAsia" w:ascii="宋体" w:hAnsi="宋体" w:cs="宋体"/>
          <w:color w:val="000000" w:themeColor="text1"/>
          <w:kern w:val="0"/>
          <w:sz w:val="24"/>
          <w:szCs w:val="24"/>
          <w:lang w:eastAsia="zh-CN"/>
          <w14:textFill>
            <w14:solidFill>
              <w14:schemeClr w14:val="tx1"/>
            </w14:solidFill>
          </w14:textFill>
        </w:rPr>
        <w:t>流出方</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26972C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35E635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7A935A6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乙方（流入方）：</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6E6AF7E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联系电话：</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73BC7C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住址：</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27C7446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p>
    <w:p w14:paraId="184B0D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u w:val="single"/>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农村产权交易机构交易鉴证书编号： </w:t>
      </w:r>
      <w:r>
        <w:rPr>
          <w:rFonts w:hint="eastAsia" w:ascii="宋体" w:hAnsi="宋体" w:eastAsia="宋体" w:cs="宋体"/>
          <w:color w:val="000000" w:themeColor="text1"/>
          <w:kern w:val="0"/>
          <w:sz w:val="24"/>
          <w:szCs w:val="24"/>
          <w:u w:val="single"/>
          <w14:textFill>
            <w14:solidFill>
              <w14:schemeClr w14:val="tx1"/>
            </w14:solidFill>
          </w14:textFill>
        </w:rPr>
        <w:t xml:space="preserve">                   </w:t>
      </w:r>
    </w:p>
    <w:p w14:paraId="1C3CF6F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358AFA16">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为维护当事人的合法权益，根据《中华人民共和国农村土地承包法</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中华人民共和国民法典</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关于引导农村产权流转交易市场健康发展的意见》（国办发〔2014〕71号）等法律法规和有关政策文件的规定，经双方自愿平等协商，就土地经营权流转事宜，订立本合同。</w:t>
      </w:r>
    </w:p>
    <w:p w14:paraId="345BDF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第一条  流转（租赁）土地基本情况及用途</w:t>
      </w:r>
    </w:p>
    <w:p w14:paraId="199D44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甲方愿意将其承包的位于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县（市、区）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乡（镇、街道）</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村（居）</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组的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亩土地（详见下表）经营权流转（出租）给乙方，从事（主营项目）</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生产经营。</w:t>
      </w:r>
    </w:p>
    <w:p w14:paraId="3DA6E77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流转土地的经营权为甲方通过以下方式取得：</w:t>
      </w:r>
    </w:p>
    <w:p w14:paraId="4FAB1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以家庭承包方式取得的耕地；</w:t>
      </w:r>
    </w:p>
    <w:p w14:paraId="289B68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通过招标、拍卖、公开协商等方式承包的荒山、荒沟、荒丘、荒滩等其他农村土地，并已经依法登记取得土地承包经营权证；</w:t>
      </w:r>
    </w:p>
    <w:p w14:paraId="5A96B3E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土地承包经营权证号为</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 xml:space="preserve">                        。</w:t>
      </w:r>
    </w:p>
    <w:p w14:paraId="12BAC8C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流转土地基本情况表</w:t>
      </w:r>
    </w:p>
    <w:tbl>
      <w:tblPr>
        <w:tblStyle w:val="12"/>
        <w:tblW w:w="0" w:type="auto"/>
        <w:jc w:val="center"/>
        <w:tblLayout w:type="fixed"/>
        <w:tblCellMar>
          <w:top w:w="0" w:type="dxa"/>
          <w:left w:w="0" w:type="dxa"/>
          <w:bottom w:w="0" w:type="dxa"/>
          <w:right w:w="0" w:type="dxa"/>
        </w:tblCellMar>
      </w:tblPr>
      <w:tblGrid>
        <w:gridCol w:w="536"/>
        <w:gridCol w:w="1112"/>
        <w:gridCol w:w="882"/>
        <w:gridCol w:w="998"/>
        <w:gridCol w:w="780"/>
        <w:gridCol w:w="784"/>
        <w:gridCol w:w="797"/>
        <w:gridCol w:w="770"/>
        <w:gridCol w:w="829"/>
        <w:gridCol w:w="1257"/>
      </w:tblGrid>
      <w:tr w14:paraId="66AA02AB">
        <w:tblPrEx>
          <w:tblCellMar>
            <w:top w:w="0" w:type="dxa"/>
            <w:left w:w="0" w:type="dxa"/>
            <w:bottom w:w="0" w:type="dxa"/>
            <w:right w:w="0" w:type="dxa"/>
          </w:tblCellMar>
        </w:tblPrEx>
        <w:trPr>
          <w:jc w:val="center"/>
        </w:trPr>
        <w:tc>
          <w:tcPr>
            <w:tcW w:w="536"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64E159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序号</w:t>
            </w:r>
          </w:p>
        </w:tc>
        <w:tc>
          <w:tcPr>
            <w:tcW w:w="111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4D43E2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地块</w:t>
            </w:r>
          </w:p>
          <w:p w14:paraId="04C8757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名称</w:t>
            </w:r>
          </w:p>
        </w:tc>
        <w:tc>
          <w:tcPr>
            <w:tcW w:w="882"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37A07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地类</w:t>
            </w:r>
          </w:p>
        </w:tc>
        <w:tc>
          <w:tcPr>
            <w:tcW w:w="998"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D9E5E8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地力等级</w:t>
            </w:r>
          </w:p>
        </w:tc>
        <w:tc>
          <w:tcPr>
            <w:tcW w:w="3131" w:type="dxa"/>
            <w:gridSpan w:val="4"/>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09C32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 至 界 限</w:t>
            </w:r>
          </w:p>
        </w:tc>
        <w:tc>
          <w:tcPr>
            <w:tcW w:w="829" w:type="dxa"/>
            <w:vMerge w:val="restart"/>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800AB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面积</w:t>
            </w:r>
          </w:p>
        </w:tc>
        <w:tc>
          <w:tcPr>
            <w:tcW w:w="1257" w:type="dxa"/>
            <w:vMerge w:val="restart"/>
            <w:tcBorders>
              <w:top w:val="single" w:color="000000" w:sz="8" w:space="0"/>
              <w:left w:val="single" w:color="000000" w:sz="8" w:space="0"/>
              <w:bottom w:val="single" w:color="000000" w:sz="8" w:space="0"/>
              <w:right w:val="single" w:color="000000" w:sz="8" w:space="0"/>
            </w:tcBorders>
            <w:vAlign w:val="center"/>
          </w:tcPr>
          <w:p w14:paraId="563DBB7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土地承包经营权证或承包合同编号</w:t>
            </w:r>
          </w:p>
        </w:tc>
      </w:tr>
      <w:tr w14:paraId="16BE1AF7">
        <w:tblPrEx>
          <w:tblCellMar>
            <w:top w:w="0" w:type="dxa"/>
            <w:left w:w="0" w:type="dxa"/>
            <w:bottom w:w="0" w:type="dxa"/>
            <w:right w:w="0" w:type="dxa"/>
          </w:tblCellMar>
        </w:tblPrEx>
        <w:trPr>
          <w:jc w:val="center"/>
        </w:trPr>
        <w:tc>
          <w:tcPr>
            <w:tcW w:w="536" w:type="dxa"/>
            <w:vMerge w:val="continue"/>
            <w:tcBorders>
              <w:top w:val="single" w:color="000000" w:sz="8" w:space="0"/>
              <w:left w:val="single" w:color="000000" w:sz="8" w:space="0"/>
              <w:bottom w:val="single" w:color="000000" w:sz="8" w:space="0"/>
              <w:right w:val="single" w:color="000000" w:sz="8" w:space="0"/>
            </w:tcBorders>
            <w:vAlign w:val="center"/>
          </w:tcPr>
          <w:p w14:paraId="78BF019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112" w:type="dxa"/>
            <w:vMerge w:val="continue"/>
            <w:tcBorders>
              <w:top w:val="single" w:color="000000" w:sz="8" w:space="0"/>
              <w:left w:val="single" w:color="000000" w:sz="8" w:space="0"/>
              <w:bottom w:val="single" w:color="000000" w:sz="8" w:space="0"/>
              <w:right w:val="single" w:color="000000" w:sz="8" w:space="0"/>
            </w:tcBorders>
            <w:vAlign w:val="center"/>
          </w:tcPr>
          <w:p w14:paraId="426B34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882" w:type="dxa"/>
            <w:vMerge w:val="continue"/>
            <w:tcBorders>
              <w:top w:val="single" w:color="000000" w:sz="8" w:space="0"/>
              <w:left w:val="single" w:color="000000" w:sz="8" w:space="0"/>
              <w:bottom w:val="single" w:color="000000" w:sz="8" w:space="0"/>
              <w:right w:val="single" w:color="000000" w:sz="8" w:space="0"/>
            </w:tcBorders>
            <w:vAlign w:val="center"/>
          </w:tcPr>
          <w:p w14:paraId="2E2BB88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998" w:type="dxa"/>
            <w:vMerge w:val="continue"/>
            <w:tcBorders>
              <w:top w:val="single" w:color="000000" w:sz="8" w:space="0"/>
              <w:left w:val="single" w:color="000000" w:sz="8" w:space="0"/>
              <w:bottom w:val="single" w:color="000000" w:sz="8" w:space="0"/>
              <w:right w:val="single" w:color="000000" w:sz="8" w:space="0"/>
            </w:tcBorders>
            <w:vAlign w:val="center"/>
          </w:tcPr>
          <w:p w14:paraId="1A198D3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29A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东</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8873CF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南</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FE429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西</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6125F9D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北</w:t>
            </w:r>
          </w:p>
        </w:tc>
        <w:tc>
          <w:tcPr>
            <w:tcW w:w="829" w:type="dxa"/>
            <w:vMerge w:val="continue"/>
            <w:tcBorders>
              <w:top w:val="single" w:color="000000" w:sz="8" w:space="0"/>
              <w:left w:val="single" w:color="000000" w:sz="8" w:space="0"/>
              <w:bottom w:val="single" w:color="000000" w:sz="8" w:space="0"/>
              <w:right w:val="single" w:color="000000" w:sz="8" w:space="0"/>
            </w:tcBorders>
            <w:vAlign w:val="center"/>
          </w:tcPr>
          <w:p w14:paraId="44A806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c>
          <w:tcPr>
            <w:tcW w:w="1257" w:type="dxa"/>
            <w:vMerge w:val="continue"/>
            <w:tcBorders>
              <w:top w:val="single" w:color="000000" w:sz="8" w:space="0"/>
              <w:left w:val="single" w:color="000000" w:sz="8" w:space="0"/>
              <w:bottom w:val="single" w:color="000000" w:sz="8" w:space="0"/>
              <w:right w:val="single" w:color="000000" w:sz="8" w:space="0"/>
            </w:tcBorders>
            <w:vAlign w:val="center"/>
          </w:tcPr>
          <w:p w14:paraId="066DFE8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1A03B223">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0478CFC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AC31A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0E7D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158B7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D6DE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5699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16E0D8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330C28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B3E68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375E0DC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35F6308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7F15F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2</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2A5555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F936A9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92436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927F0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0FBEA2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97A4F8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233D8A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2A8569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DFE74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E41E825">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3A883E1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3</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AA36E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5A4BE0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DA2563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363601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A6205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00100EA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391F5E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BC52AD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6E7C823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6F260DAB">
        <w:tblPrEx>
          <w:tblCellMar>
            <w:top w:w="0" w:type="dxa"/>
            <w:left w:w="0" w:type="dxa"/>
            <w:bottom w:w="0" w:type="dxa"/>
            <w:right w:w="0" w:type="dxa"/>
          </w:tblCellMar>
        </w:tblPrEx>
        <w:trPr>
          <w:jc w:val="center"/>
        </w:trPr>
        <w:tc>
          <w:tcPr>
            <w:tcW w:w="536"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18806F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w:t>
            </w:r>
          </w:p>
        </w:tc>
        <w:tc>
          <w:tcPr>
            <w:tcW w:w="111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86D17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8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76C9DB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998"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527D001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9B928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84"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40E80F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97"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D5717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770"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1F5EAE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829"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14:paraId="610A975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w:t>
            </w:r>
          </w:p>
        </w:tc>
        <w:tc>
          <w:tcPr>
            <w:tcW w:w="1257" w:type="dxa"/>
            <w:tcBorders>
              <w:top w:val="single" w:color="000000" w:sz="8" w:space="0"/>
              <w:left w:val="single" w:color="000000" w:sz="8" w:space="0"/>
              <w:bottom w:val="single" w:color="000000" w:sz="8" w:space="0"/>
              <w:right w:val="single" w:color="000000" w:sz="8" w:space="0"/>
            </w:tcBorders>
          </w:tcPr>
          <w:p w14:paraId="7FE56E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tc>
      </w:tr>
      <w:tr w14:paraId="2B4BD2D9">
        <w:tblPrEx>
          <w:tblCellMar>
            <w:top w:w="0" w:type="dxa"/>
            <w:left w:w="0" w:type="dxa"/>
            <w:bottom w:w="0" w:type="dxa"/>
            <w:right w:w="0" w:type="dxa"/>
          </w:tblCellMar>
        </w:tblPrEx>
        <w:trPr>
          <w:jc w:val="center"/>
        </w:trPr>
        <w:tc>
          <w:tcPr>
            <w:tcW w:w="8745" w:type="dxa"/>
            <w:gridSpan w:val="10"/>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4950D1F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合计（大写）      亩，（小写）    亩</w:t>
            </w:r>
          </w:p>
        </w:tc>
      </w:tr>
    </w:tbl>
    <w:p w14:paraId="33D547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注：地类指流转前土地利用类型，可分为水田、旱地、水浇地、果园、茶园、其他等；地力等级评定执行</w:t>
      </w:r>
      <w:r>
        <w:rPr>
          <w:rFonts w:hint="eastAsia" w:ascii="宋体" w:hAnsi="宋体" w:cs="宋体"/>
          <w:color w:val="000000" w:themeColor="text1"/>
          <w:kern w:val="0"/>
          <w:sz w:val="24"/>
          <w:szCs w:val="24"/>
          <w:lang w:eastAsia="zh-CN"/>
          <w14:textFill>
            <w14:solidFill>
              <w14:schemeClr w14:val="tx1"/>
            </w14:solidFill>
          </w14:textFill>
        </w:rPr>
        <w:t>农业农村部</w:t>
      </w:r>
      <w:r>
        <w:rPr>
          <w:rFonts w:hint="eastAsia" w:ascii="宋体" w:hAnsi="宋体" w:eastAsia="宋体" w:cs="宋体"/>
          <w:color w:val="000000" w:themeColor="text1"/>
          <w:kern w:val="0"/>
          <w:sz w:val="24"/>
          <w:szCs w:val="24"/>
          <w14:textFill>
            <w14:solidFill>
              <w14:schemeClr w14:val="tx1"/>
            </w14:solidFill>
          </w14:textFill>
        </w:rPr>
        <w:t>《全国耕地类型区、耕地地力等级划分标准》（NY/T 309—1996），分一</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十级。</w:t>
      </w:r>
    </w:p>
    <w:p w14:paraId="10F33C5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第二条  流转（租赁）期限</w:t>
      </w:r>
    </w:p>
    <w:p w14:paraId="709843D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土地流转（租赁）期限为</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年，自</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日起至</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日止（最长不得超过土地承包期剩余期限）。甲方应于</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年</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月</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日之前将土地交付乙方。</w:t>
      </w:r>
    </w:p>
    <w:p w14:paraId="51EF67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第三条  流转（租赁）价格与支付方式</w:t>
      </w:r>
    </w:p>
    <w:p w14:paraId="180332D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（一）现金形式支付</w:t>
      </w:r>
    </w:p>
    <w:p w14:paraId="3E022D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第一年流转价款为人民币</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元，以后递增方式及比例为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w:t>
      </w:r>
    </w:p>
    <w:p w14:paraId="4C6F2F5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天内乙方向甲方（或乡镇三资委托代理中心）一次性支付土地流转价款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 xml:space="preserve"> ，以后每年____月____日前乙方向甲方支付当年度的流转价款。</w:t>
      </w:r>
    </w:p>
    <w:p w14:paraId="653DF8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（二）实物（稻谷）折现形式支付</w:t>
      </w:r>
    </w:p>
    <w:p w14:paraId="2C4089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流转价款为每年每亩</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斤</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稻谷（稻谷等级），以后递增方式及比例为</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w:t>
      </w:r>
    </w:p>
    <w:p w14:paraId="687A3A3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本合同签订</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cs="宋体"/>
          <w:color w:val="000000" w:themeColor="text1"/>
          <w:kern w:val="0"/>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天内乙方向甲方（或乡镇三资委托代理中心）一次性支付土地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w:t>
      </w:r>
      <w:r>
        <w:rPr>
          <w:rFonts w:hint="eastAsia" w:ascii="宋体" w:hAnsi="宋体" w:eastAsia="宋体" w:cs="宋体"/>
          <w:color w:val="000000" w:themeColor="text1"/>
          <w:kern w:val="0"/>
          <w:sz w:val="24"/>
          <w:szCs w:val="24"/>
          <w:u w:val="single"/>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，以当年同等级稻谷最低收购价为准折以现金兑付，以后每年__月__日为兑付日，以兑付日的稻谷市场价或当年稻谷最低收购价为准折以现金支付当年度的流转价款。</w:t>
      </w:r>
    </w:p>
    <w:p w14:paraId="28AC50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第四条  双方的权利和义务</w:t>
      </w:r>
    </w:p>
    <w:p w14:paraId="51BC18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（一）甲方的权利和义务</w:t>
      </w:r>
    </w:p>
    <w:p w14:paraId="467539B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甲方有权获得土地经营权流转收益，并有权按照本合同约定的期限到期从乙方收回土地经营权。</w:t>
      </w:r>
    </w:p>
    <w:p w14:paraId="5B81AB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有权监督乙方合理利用、保护流转（租赁）土地，制止乙方损坏流转（租赁）土地和其他农业资源的行为，并有权要求乙方赔偿由此造成的损失。</w:t>
      </w:r>
    </w:p>
    <w:p w14:paraId="7EE406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流转土地被依法征收、占用时，有权依法获得相应的土地补偿费和安置补助费。</w:t>
      </w:r>
    </w:p>
    <w:p w14:paraId="035C96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尊重乙方的生产经营自主权，不得干涉乙方依法进行的正常生产经营活动。</w:t>
      </w:r>
    </w:p>
    <w:p w14:paraId="698C8BE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AAD9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（二）乙方的权利和义务</w:t>
      </w:r>
    </w:p>
    <w:p w14:paraId="02E884E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依法享有该土地的生产经营自主权、产品处置权和产品收益权。</w:t>
      </w:r>
    </w:p>
    <w:p w14:paraId="686A22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维持土地的农业用途，不得用于非农建设。</w:t>
      </w:r>
    </w:p>
    <w:p w14:paraId="0AD27F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依法保护合理利用土地，不损坏农田水利设施，不开展毁坏种植条件的行为，不得给土地造成永久性损害。</w:t>
      </w:r>
    </w:p>
    <w:p w14:paraId="12CBBC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依法享受国家和当地政府提供的各种支农惠农政策补贴和服务。</w:t>
      </w:r>
    </w:p>
    <w:p w14:paraId="721F71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流转期间土地被依法征收、占用时，乙方应服从，但有权获得相应的青苗补偿费和投入建设的地面附着物补偿费。</w:t>
      </w:r>
    </w:p>
    <w:p w14:paraId="752BDC1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未经甲方同意，乙方不得以任何形式转租、分租、出借土地。</w:t>
      </w:r>
    </w:p>
    <w:p w14:paraId="5C230AC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cs="宋体"/>
          <w:color w:val="000000" w:themeColor="text1"/>
          <w:kern w:val="0"/>
          <w:sz w:val="24"/>
          <w:szCs w:val="24"/>
          <w:lang w:val="en-US" w:eastAsia="zh-CN"/>
          <w14:textFill>
            <w14:solidFill>
              <w14:schemeClr w14:val="tx1"/>
            </w14:solidFill>
          </w14:textFill>
        </w:rPr>
        <w:t>流转期满</w:t>
      </w:r>
      <w:r>
        <w:rPr>
          <w:rFonts w:hint="eastAsia" w:ascii="宋体" w:hAnsi="宋体" w:eastAsia="宋体" w:cs="宋体"/>
          <w:color w:val="000000" w:themeColor="text1"/>
          <w:kern w:val="0"/>
          <w:sz w:val="24"/>
          <w:szCs w:val="24"/>
          <w14:textFill>
            <w14:solidFill>
              <w14:schemeClr w14:val="tx1"/>
            </w14:solidFill>
          </w14:textFill>
        </w:rPr>
        <w:t>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10日内，及时向甲方交还流转（租赁）土地或者协商继续租赁。</w:t>
      </w:r>
    </w:p>
    <w:p w14:paraId="586820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8.</w:t>
      </w:r>
      <w:r>
        <w:rPr>
          <w:rFonts w:hint="eastAsia" w:ascii="宋体" w:hAnsi="宋体" w:eastAsia="宋体" w:cs="宋体"/>
          <w:color w:val="000000" w:themeColor="text1"/>
          <w:kern w:val="0"/>
          <w:sz w:val="24"/>
          <w:szCs w:val="24"/>
          <w14:textFill>
            <w14:solidFill>
              <w14:schemeClr w14:val="tx1"/>
            </w14:solidFill>
          </w14:textFill>
        </w:rPr>
        <w:t>法律法规规定的其他权利和义务。</w:t>
      </w:r>
    </w:p>
    <w:p w14:paraId="78E06C7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第五条 合同的变更、解除和</w:t>
      </w:r>
      <w:r>
        <w:rPr>
          <w:rFonts w:hint="eastAsia" w:ascii="宋体" w:hAnsi="宋体" w:cs="宋体"/>
          <w:color w:val="000000" w:themeColor="text1"/>
          <w:kern w:val="0"/>
          <w:sz w:val="24"/>
          <w:szCs w:val="24"/>
          <w:lang w:eastAsia="zh-CN"/>
          <w14:textFill>
            <w14:solidFill>
              <w14:schemeClr w14:val="tx1"/>
            </w14:solidFill>
          </w14:textFill>
        </w:rPr>
        <w:t>终结</w:t>
      </w:r>
    </w:p>
    <w:p w14:paraId="6F69BA4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（一）本合同效力不受甲乙双方法定代表人变动影响，也不因集体经济组织的分立或合并而变更或解除。任何一方不得随意</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合同。因不可抗</w:t>
      </w:r>
      <w:r>
        <w:rPr>
          <w:rFonts w:hint="eastAsia" w:ascii="宋体" w:hAnsi="宋体" w:cs="宋体"/>
          <w:color w:val="000000" w:themeColor="text1"/>
          <w:kern w:val="0"/>
          <w:sz w:val="24"/>
          <w:szCs w:val="24"/>
          <w:lang w:eastAsia="zh-CN"/>
          <w14:textFill>
            <w14:solidFill>
              <w14:schemeClr w14:val="tx1"/>
            </w14:solidFill>
          </w14:textFill>
        </w:rPr>
        <w:t>拒的</w:t>
      </w:r>
      <w:r>
        <w:rPr>
          <w:rFonts w:hint="eastAsia" w:ascii="宋体" w:hAnsi="宋体" w:eastAsia="宋体" w:cs="宋体"/>
          <w:color w:val="000000" w:themeColor="text1"/>
          <w:kern w:val="0"/>
          <w:sz w:val="24"/>
          <w:szCs w:val="24"/>
          <w14:textFill>
            <w14:solidFill>
              <w14:schemeClr w14:val="tx1"/>
            </w14:solidFill>
          </w14:textFill>
        </w:rPr>
        <w:t>自然灾害严重毁损该土地，造成合同无法履行除外。</w:t>
      </w:r>
    </w:p>
    <w:p w14:paraId="06E5972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（二）合同期满后，甲方有权收回该土地的经营权，乙方应清理承包土地上的所建设施，在合同期满或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前由乙方将地上作物自行处置完毕，将土地整平后交给甲方，如甲方提出要求保留设施的除外。乙方如需继续经营，享有同等条件下的优先权。</w:t>
      </w:r>
    </w:p>
    <w:p w14:paraId="0FFBD4D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（三）土地经营权流转期限不得超过国家规定的家庭承包期限，超过的时间无效。</w:t>
      </w:r>
    </w:p>
    <w:p w14:paraId="259847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（四）有下列情况之一者，本合同可以解除或</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60CC61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经当事人双方协商一致可以解除本合同；</w:t>
      </w:r>
    </w:p>
    <w:p w14:paraId="6D9672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订立本合同所依据的国家政策发生重大变化的；</w:t>
      </w:r>
    </w:p>
    <w:p w14:paraId="50EC783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一方违约，使合同无法履行的；</w:t>
      </w:r>
    </w:p>
    <w:p w14:paraId="5D88D6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因不可抗力（重大自然灾害）使合同无法履行的；</w:t>
      </w:r>
    </w:p>
    <w:p w14:paraId="653DEC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合同期内，如因国家及农业基础设施占用或征用该土地的，本合同自动</w:t>
      </w:r>
      <w:r>
        <w:rPr>
          <w:rFonts w:hint="eastAsia" w:ascii="宋体" w:hAnsi="宋体" w:cs="宋体"/>
          <w:color w:val="000000" w:themeColor="text1"/>
          <w:kern w:val="0"/>
          <w:sz w:val="24"/>
          <w:szCs w:val="24"/>
          <w:lang w:eastAsia="zh-CN"/>
          <w14:textFill>
            <w14:solidFill>
              <w14:schemeClr w14:val="tx1"/>
            </w14:solidFill>
          </w14:textFill>
        </w:rPr>
        <w:t>终结</w:t>
      </w:r>
      <w:r>
        <w:rPr>
          <w:rFonts w:hint="eastAsia" w:ascii="宋体" w:hAnsi="宋体" w:eastAsia="宋体" w:cs="宋体"/>
          <w:color w:val="000000" w:themeColor="text1"/>
          <w:kern w:val="0"/>
          <w:sz w:val="24"/>
          <w:szCs w:val="24"/>
          <w14:textFill>
            <w14:solidFill>
              <w14:schemeClr w14:val="tx1"/>
            </w14:solidFill>
          </w14:textFill>
        </w:rPr>
        <w:t>。</w:t>
      </w:r>
    </w:p>
    <w:p w14:paraId="23F0283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五</w:t>
      </w:r>
      <w:r>
        <w:rPr>
          <w:rFonts w:hint="eastAsia" w:ascii="宋体" w:hAnsi="宋体" w:eastAsia="宋体" w:cs="宋体"/>
          <w:color w:val="000000" w:themeColor="text1"/>
          <w:kern w:val="0"/>
          <w:sz w:val="24"/>
          <w:szCs w:val="24"/>
          <w14:textFill>
            <w14:solidFill>
              <w14:schemeClr w14:val="tx1"/>
            </w14:solidFill>
          </w14:textFill>
        </w:rPr>
        <w:t>）乙方有下列行为之一的，甲方有权解除合同，收回土地经营权，并追究乙方的违约责任：</w:t>
      </w:r>
    </w:p>
    <w:p w14:paraId="2DFBE09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不按合同规定用途使用土地的；</w:t>
      </w:r>
    </w:p>
    <w:p w14:paraId="08FC8F6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借土地流转之名违规搞非农建设的；</w:t>
      </w:r>
    </w:p>
    <w:p w14:paraId="1CFE1DD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在基本农田上挖塘栽树及其他毁坏种植条件行为的；</w:t>
      </w:r>
    </w:p>
    <w:p w14:paraId="6FED93F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破坏、污染、闲置耕地和损毁农田基础设施的；</w:t>
      </w:r>
    </w:p>
    <w:p w14:paraId="00EA65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逾期未交纳土地</w:t>
      </w:r>
      <w:r>
        <w:rPr>
          <w:rFonts w:hint="eastAsia" w:ascii="宋体" w:hAnsi="宋体" w:cs="宋体"/>
          <w:color w:val="000000" w:themeColor="text1"/>
          <w:kern w:val="0"/>
          <w:sz w:val="24"/>
          <w:szCs w:val="24"/>
          <w:lang w:eastAsia="zh-CN"/>
          <w14:textFill>
            <w14:solidFill>
              <w14:schemeClr w14:val="tx1"/>
            </w14:solidFill>
          </w14:textFill>
        </w:rPr>
        <w:t>流转</w:t>
      </w:r>
      <w:r>
        <w:rPr>
          <w:rFonts w:hint="eastAsia" w:ascii="宋体" w:hAnsi="宋体" w:eastAsia="宋体" w:cs="宋体"/>
          <w:color w:val="000000" w:themeColor="text1"/>
          <w:kern w:val="0"/>
          <w:sz w:val="24"/>
          <w:szCs w:val="24"/>
          <w14:textFill>
            <w14:solidFill>
              <w14:schemeClr w14:val="tx1"/>
            </w14:solidFill>
          </w14:textFill>
        </w:rPr>
        <w:t>价款，经催告后在合理期限内仍未支付的；</w:t>
      </w:r>
    </w:p>
    <w:p w14:paraId="4B29580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未经甲方书面同意转租、转借土地或以流转土地经营权进行抵押担保的；</w:t>
      </w:r>
    </w:p>
    <w:p w14:paraId="7F7A17E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7.</w:t>
      </w:r>
      <w:r>
        <w:rPr>
          <w:rFonts w:hint="eastAsia" w:ascii="宋体" w:hAnsi="宋体" w:eastAsia="宋体" w:cs="宋体"/>
          <w:color w:val="000000" w:themeColor="text1"/>
          <w:kern w:val="0"/>
          <w:sz w:val="24"/>
          <w:szCs w:val="24"/>
          <w14:textFill>
            <w14:solidFill>
              <w14:schemeClr w14:val="tx1"/>
            </w14:solidFill>
          </w14:textFill>
        </w:rPr>
        <w:t>经营状况显著恶化，合同无法履行的。</w:t>
      </w:r>
    </w:p>
    <w:p w14:paraId="4838AB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六、违约责任</w:t>
      </w:r>
    </w:p>
    <w:p w14:paraId="0DACAF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因变更或解除本合同使一方遭受损失的，除依法可免除责任外，应由责任方负责赔偿。</w:t>
      </w:r>
    </w:p>
    <w:p w14:paraId="6FF28A2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甲方非法干预乙方生产经营活动，给乙方造成损失的，应予以赔偿。</w:t>
      </w:r>
    </w:p>
    <w:p w14:paraId="641A2CD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乙方逾期支付流转费用，每延迟一天，按应流转费用的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19B219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甲方逾期交付土地，每延迟一天，按流转费用的</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%承担违约金。</w:t>
      </w:r>
    </w:p>
    <w:p w14:paraId="7BAA8A9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乙方不按合同约定使用土地，改变土地用途、破坏水利等基本设施或给土地造成永久性损害的，甲方有权要求乙方停止侵害、恢复原状或赔偿损失。</w:t>
      </w:r>
    </w:p>
    <w:p w14:paraId="2E1E23C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七、其他约定</w:t>
      </w:r>
    </w:p>
    <w:p w14:paraId="79EA38A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本合同订立后，双方应将合同报发包方、乡（镇、街道）农村土地承包管理部门备案。</w:t>
      </w:r>
    </w:p>
    <w:p w14:paraId="52FF4FB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乙方按公告约定向甲方按时缴纳履约保证金，用于支付乙方因中途退出拖欠的农户流转价款、乙方擅自改变土地用途的处罚金和乙方对土地从事掠夺性经营损坏地质的补偿等，不足支付的依照法律途径解决。租赁合同期满且无违约违规行为的，返还乙方履约保证金。</w:t>
      </w:r>
    </w:p>
    <w:p w14:paraId="0BEBE48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val="en-US"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其他需说明的事项</w:t>
      </w:r>
      <w:r>
        <w:rPr>
          <w:rFonts w:hint="eastAsia" w:ascii="宋体" w:hAnsi="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w:t>
      </w:r>
    </w:p>
    <w:p w14:paraId="184C51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4.</w:t>
      </w:r>
      <w:r>
        <w:rPr>
          <w:rFonts w:hint="eastAsia" w:ascii="宋体" w:hAnsi="宋体" w:eastAsia="宋体" w:cs="宋体"/>
          <w:color w:val="000000" w:themeColor="text1"/>
          <w:kern w:val="0"/>
          <w:sz w:val="24"/>
          <w:szCs w:val="24"/>
          <w14:textFill>
            <w14:solidFill>
              <w14:schemeClr w14:val="tx1"/>
            </w14:solidFill>
          </w14:textFill>
        </w:rPr>
        <w:t>本合同在履行过程中发生争议，双方协商解决。协商不成，可以请求村民委员会、乡（镇、街道）人民政府（办事处）调解，不愿调解或调解不成的，双方当事人一致同意选择以下第</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方式解决纠纷：（1）提交流转（租赁）土地所在地的农村土地承包仲裁委员会进行仲裁；（2）直接向有管辖权的人民法院提起诉讼。</w:t>
      </w:r>
    </w:p>
    <w:p w14:paraId="31D0F81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5.</w:t>
      </w:r>
      <w:r>
        <w:rPr>
          <w:rFonts w:hint="eastAsia" w:ascii="宋体" w:hAnsi="宋体" w:eastAsia="宋体" w:cs="宋体"/>
          <w:color w:val="000000" w:themeColor="text1"/>
          <w:kern w:val="0"/>
          <w:sz w:val="24"/>
          <w:szCs w:val="24"/>
          <w14:textFill>
            <w14:solidFill>
              <w14:schemeClr w14:val="tx1"/>
            </w14:solidFill>
          </w14:textFill>
        </w:rPr>
        <w:t>本合同自双方签字后生效。经协商，决定</w:t>
      </w:r>
      <w:r>
        <w:rPr>
          <w:rFonts w:hint="eastAsia" w:ascii="宋体" w:hAnsi="宋体" w:eastAsia="宋体" w:cs="宋体"/>
          <w:color w:val="000000" w:themeColor="text1"/>
          <w:kern w:val="0"/>
          <w:sz w:val="24"/>
          <w:szCs w:val="24"/>
          <w:u w:val="single"/>
          <w14:textFill>
            <w14:solidFill>
              <w14:schemeClr w14:val="tx1"/>
            </w14:solidFill>
          </w14:textFill>
        </w:rPr>
        <w:t>    </w:t>
      </w:r>
      <w:r>
        <w:rPr>
          <w:rFonts w:hint="eastAsia" w:ascii="宋体" w:hAnsi="宋体" w:eastAsia="宋体" w:cs="宋体"/>
          <w:color w:val="000000" w:themeColor="text1"/>
          <w:kern w:val="0"/>
          <w:sz w:val="24"/>
          <w:szCs w:val="24"/>
          <w14:textFill>
            <w14:solidFill>
              <w14:schemeClr w14:val="tx1"/>
            </w14:solidFill>
          </w14:textFill>
        </w:rPr>
        <w:t>（是或否）鉴证。未尽事宜，双方经协商一致后可订立补充协议，经备案后与本合同具有同等法律效力。</w:t>
      </w:r>
    </w:p>
    <w:p w14:paraId="474C7ED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cs="宋体"/>
          <w:color w:val="000000" w:themeColor="text1"/>
          <w:kern w:val="0"/>
          <w:sz w:val="24"/>
          <w:szCs w:val="24"/>
          <w:lang w:eastAsia="zh-CN"/>
          <w14:textFill>
            <w14:solidFill>
              <w14:schemeClr w14:val="tx1"/>
            </w14:solidFill>
          </w14:textFill>
        </w:rPr>
        <w:t>6.</w:t>
      </w:r>
      <w:r>
        <w:rPr>
          <w:rFonts w:hint="eastAsia" w:ascii="宋体" w:hAnsi="宋体" w:eastAsia="宋体" w:cs="宋体"/>
          <w:color w:val="000000" w:themeColor="text1"/>
          <w:kern w:val="0"/>
          <w:sz w:val="24"/>
          <w:szCs w:val="24"/>
          <w14:textFill>
            <w14:solidFill>
              <w14:schemeClr w14:val="tx1"/>
            </w14:solidFill>
          </w14:textFill>
        </w:rPr>
        <w:t>本合同一式四份，双方各执一份，发包方一份、农村土地承包管理部门备案一份（如有鉴证，相应增加一份）。</w:t>
      </w:r>
    </w:p>
    <w:p w14:paraId="6E4E1E5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甲方（签字）：                      乙方（签字）：</w:t>
      </w:r>
    </w:p>
    <w:p w14:paraId="28D9056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身份证号：                            身份证号：</w:t>
      </w:r>
    </w:p>
    <w:p w14:paraId="1ACEB0A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年  月  日　　　                    年  月  日</w:t>
      </w:r>
    </w:p>
    <w:p w14:paraId="277681D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p w14:paraId="74FAF51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鉴证单位：（签章）                 鉴证人：（签章）</w:t>
      </w:r>
    </w:p>
    <w:p w14:paraId="4BF276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年   月  日</w:t>
      </w:r>
    </w:p>
    <w:p w14:paraId="6E7B627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kern w:val="0"/>
          <w:sz w:val="24"/>
          <w:szCs w:val="24"/>
          <w14:textFill>
            <w14:solidFill>
              <w14:schemeClr w14:val="tx1"/>
            </w14:solidFill>
          </w14:textFill>
        </w:rPr>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F3946C8-3A27-42DD-BCF7-3A1F2A6C10F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2" w:fontKey="{422164F9-CE9C-459D-AC5A-0139C6E4E201}"/>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modern"/>
    <w:pitch w:val="default"/>
    <w:sig w:usb0="00000001" w:usb1="080E0000" w:usb2="00000000" w:usb3="00000000" w:csb0="00040000" w:csb1="00000000"/>
    <w:embedRegular r:id="rId3" w:fontKey="{A914DD49-31A1-4217-8D5D-B06805A710CB}"/>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7134706"/>
    </w:sdtPr>
    <w:sdtContent>
      <w:p w14:paraId="05E7597C">
        <w:pPr>
          <w:pStyle w:val="8"/>
          <w:jc w:val="center"/>
        </w:pPr>
        <w:r>
          <w:fldChar w:fldCharType="begin"/>
        </w:r>
        <w:r>
          <w:instrText xml:space="preserve">PAGE   \* MERGEFORMAT</w:instrText>
        </w:r>
        <w:r>
          <w:fldChar w:fldCharType="separate"/>
        </w:r>
        <w:r>
          <w:rPr>
            <w:lang w:val="zh-CN"/>
          </w:rPr>
          <w:t>15</w:t>
        </w:r>
        <w:r>
          <w:fldChar w:fldCharType="end"/>
        </w:r>
      </w:p>
    </w:sdtContent>
  </w:sdt>
  <w:p w14:paraId="4FEA255A">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B03F9">
    <w:pPr>
      <w:pStyle w:val="9"/>
      <w:jc w:val="both"/>
      <w:rPr>
        <w:rFonts w:hint="default" w:eastAsia="宋体"/>
        <w:color w:val="auto"/>
        <w:lang w:val="en-US" w:eastAsia="zh-CN"/>
      </w:rPr>
    </w:pPr>
    <w:r>
      <w:rPr>
        <w:rFonts w:hint="eastAsia"/>
        <w:color w:val="auto"/>
      </w:rPr>
      <w:t>安徽省农村综合产权交易所</w:t>
    </w:r>
    <w:r>
      <w:rPr>
        <w:rFonts w:hint="eastAsia"/>
        <w:color w:val="auto"/>
        <w:lang w:eastAsia="zh-CN"/>
      </w:rPr>
      <w:t>土地经营权流转</w:t>
    </w:r>
    <w:r>
      <w:rPr>
        <w:rFonts w:hint="eastAsia"/>
        <w:color w:val="auto"/>
      </w:rPr>
      <w:t>公告（企业库登记+网络</w:t>
    </w:r>
    <w:r>
      <w:rPr>
        <w:rFonts w:hint="eastAsia"/>
        <w:color w:val="auto"/>
        <w:lang w:val="en-US" w:eastAsia="zh-CN"/>
      </w:rPr>
      <w:t>一次性报价</w:t>
    </w:r>
    <w:r>
      <w:rPr>
        <w:rFonts w:hint="eastAsia"/>
        <w:color w:val="auto"/>
      </w:rPr>
      <w:t>）模版</w:t>
    </w:r>
    <w:r>
      <w:rPr>
        <w:rFonts w:hint="eastAsia"/>
        <w:color w:val="auto"/>
        <w:kern w:val="0"/>
        <w:lang w:val="en-US" w:eastAsia="zh-CN"/>
      </w:rPr>
      <w:t>202310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zYjUzZjY2ZDU5MDY3NDAzZmJmMDk4ODg1OTg0OWUifQ=="/>
    <w:docVar w:name="KSO_WPS_MARK_KEY" w:val="f33e686a-7528-45f7-a34e-85b50c965aa6"/>
  </w:docVars>
  <w:rsids>
    <w:rsidRoot w:val="00FA283E"/>
    <w:rsid w:val="00000B8F"/>
    <w:rsid w:val="00000CC4"/>
    <w:rsid w:val="00007875"/>
    <w:rsid w:val="00011E09"/>
    <w:rsid w:val="00012841"/>
    <w:rsid w:val="000149F2"/>
    <w:rsid w:val="00015D9A"/>
    <w:rsid w:val="00017C69"/>
    <w:rsid w:val="0002195E"/>
    <w:rsid w:val="00024F64"/>
    <w:rsid w:val="00030F89"/>
    <w:rsid w:val="00033C1F"/>
    <w:rsid w:val="000416CA"/>
    <w:rsid w:val="000430C6"/>
    <w:rsid w:val="000442AB"/>
    <w:rsid w:val="000452AC"/>
    <w:rsid w:val="00046566"/>
    <w:rsid w:val="00046C91"/>
    <w:rsid w:val="00054505"/>
    <w:rsid w:val="0006473A"/>
    <w:rsid w:val="00064EC6"/>
    <w:rsid w:val="00066AFF"/>
    <w:rsid w:val="00067077"/>
    <w:rsid w:val="00075E46"/>
    <w:rsid w:val="00083048"/>
    <w:rsid w:val="00083787"/>
    <w:rsid w:val="00087A9C"/>
    <w:rsid w:val="000908C5"/>
    <w:rsid w:val="00092812"/>
    <w:rsid w:val="00093E68"/>
    <w:rsid w:val="00094258"/>
    <w:rsid w:val="00094E85"/>
    <w:rsid w:val="000A07B0"/>
    <w:rsid w:val="000A124D"/>
    <w:rsid w:val="000B146B"/>
    <w:rsid w:val="000B3A85"/>
    <w:rsid w:val="000B6546"/>
    <w:rsid w:val="000C20A3"/>
    <w:rsid w:val="000C491C"/>
    <w:rsid w:val="000C618D"/>
    <w:rsid w:val="000C78F3"/>
    <w:rsid w:val="000C7BDA"/>
    <w:rsid w:val="000D23A4"/>
    <w:rsid w:val="000D5FCA"/>
    <w:rsid w:val="000D73CF"/>
    <w:rsid w:val="000D767B"/>
    <w:rsid w:val="000E2DD0"/>
    <w:rsid w:val="000E4DE6"/>
    <w:rsid w:val="000E6D0C"/>
    <w:rsid w:val="000F28AA"/>
    <w:rsid w:val="000F34D8"/>
    <w:rsid w:val="000F41C4"/>
    <w:rsid w:val="000F509C"/>
    <w:rsid w:val="000F51CC"/>
    <w:rsid w:val="000F7262"/>
    <w:rsid w:val="00100CC4"/>
    <w:rsid w:val="00103238"/>
    <w:rsid w:val="00104E3B"/>
    <w:rsid w:val="00112458"/>
    <w:rsid w:val="001126DF"/>
    <w:rsid w:val="001135BD"/>
    <w:rsid w:val="00113D8D"/>
    <w:rsid w:val="001141EC"/>
    <w:rsid w:val="00114A0F"/>
    <w:rsid w:val="00114DEA"/>
    <w:rsid w:val="00120473"/>
    <w:rsid w:val="00123EBA"/>
    <w:rsid w:val="00124D49"/>
    <w:rsid w:val="00135806"/>
    <w:rsid w:val="00141B37"/>
    <w:rsid w:val="001443F4"/>
    <w:rsid w:val="00146B20"/>
    <w:rsid w:val="00147D8A"/>
    <w:rsid w:val="00152503"/>
    <w:rsid w:val="00152913"/>
    <w:rsid w:val="001567DD"/>
    <w:rsid w:val="00157DAF"/>
    <w:rsid w:val="00165BC4"/>
    <w:rsid w:val="00170A32"/>
    <w:rsid w:val="001731AB"/>
    <w:rsid w:val="0018305A"/>
    <w:rsid w:val="00187D95"/>
    <w:rsid w:val="00191194"/>
    <w:rsid w:val="00192753"/>
    <w:rsid w:val="001A4F48"/>
    <w:rsid w:val="001A5E0E"/>
    <w:rsid w:val="001B0E91"/>
    <w:rsid w:val="001B3065"/>
    <w:rsid w:val="001B5DB6"/>
    <w:rsid w:val="001B631D"/>
    <w:rsid w:val="001C15CE"/>
    <w:rsid w:val="001C642A"/>
    <w:rsid w:val="001D1EA8"/>
    <w:rsid w:val="001E3660"/>
    <w:rsid w:val="001E39A9"/>
    <w:rsid w:val="001E4B3A"/>
    <w:rsid w:val="001E5916"/>
    <w:rsid w:val="001F09F0"/>
    <w:rsid w:val="001F1319"/>
    <w:rsid w:val="001F15BA"/>
    <w:rsid w:val="001F1B5C"/>
    <w:rsid w:val="001F24CD"/>
    <w:rsid w:val="001F6A72"/>
    <w:rsid w:val="00203092"/>
    <w:rsid w:val="00206454"/>
    <w:rsid w:val="0021344C"/>
    <w:rsid w:val="0021487D"/>
    <w:rsid w:val="0022173E"/>
    <w:rsid w:val="0022276D"/>
    <w:rsid w:val="002252F4"/>
    <w:rsid w:val="00225E8D"/>
    <w:rsid w:val="002307FC"/>
    <w:rsid w:val="00233418"/>
    <w:rsid w:val="00233E11"/>
    <w:rsid w:val="002370D3"/>
    <w:rsid w:val="00242D0D"/>
    <w:rsid w:val="00245B2F"/>
    <w:rsid w:val="00246FE1"/>
    <w:rsid w:val="002503AE"/>
    <w:rsid w:val="0025049E"/>
    <w:rsid w:val="00254416"/>
    <w:rsid w:val="00256A09"/>
    <w:rsid w:val="002607E4"/>
    <w:rsid w:val="00261B4A"/>
    <w:rsid w:val="002626C3"/>
    <w:rsid w:val="00264665"/>
    <w:rsid w:val="002654BA"/>
    <w:rsid w:val="002657AB"/>
    <w:rsid w:val="00266044"/>
    <w:rsid w:val="002662BE"/>
    <w:rsid w:val="00271F31"/>
    <w:rsid w:val="00272243"/>
    <w:rsid w:val="0027730D"/>
    <w:rsid w:val="002810E5"/>
    <w:rsid w:val="002834A7"/>
    <w:rsid w:val="002909D4"/>
    <w:rsid w:val="0029102A"/>
    <w:rsid w:val="00293039"/>
    <w:rsid w:val="00294101"/>
    <w:rsid w:val="00296644"/>
    <w:rsid w:val="002A122F"/>
    <w:rsid w:val="002A6784"/>
    <w:rsid w:val="002A6A5F"/>
    <w:rsid w:val="002B247F"/>
    <w:rsid w:val="002B2F5E"/>
    <w:rsid w:val="002B7334"/>
    <w:rsid w:val="002B7530"/>
    <w:rsid w:val="002B76CE"/>
    <w:rsid w:val="002B77F9"/>
    <w:rsid w:val="002C2D01"/>
    <w:rsid w:val="002C7383"/>
    <w:rsid w:val="002D2DD6"/>
    <w:rsid w:val="002D3CA1"/>
    <w:rsid w:val="002D3E3D"/>
    <w:rsid w:val="002D45B3"/>
    <w:rsid w:val="002D6999"/>
    <w:rsid w:val="002D707E"/>
    <w:rsid w:val="002E1D8B"/>
    <w:rsid w:val="002E432D"/>
    <w:rsid w:val="002E4863"/>
    <w:rsid w:val="002E7412"/>
    <w:rsid w:val="002F06A6"/>
    <w:rsid w:val="002F3A75"/>
    <w:rsid w:val="0030069A"/>
    <w:rsid w:val="00301825"/>
    <w:rsid w:val="00301EBD"/>
    <w:rsid w:val="0030385B"/>
    <w:rsid w:val="0030524C"/>
    <w:rsid w:val="00305F9B"/>
    <w:rsid w:val="00307512"/>
    <w:rsid w:val="003103FE"/>
    <w:rsid w:val="00310B98"/>
    <w:rsid w:val="00314447"/>
    <w:rsid w:val="003210AF"/>
    <w:rsid w:val="003224D1"/>
    <w:rsid w:val="0032319F"/>
    <w:rsid w:val="00323B87"/>
    <w:rsid w:val="00326210"/>
    <w:rsid w:val="00326B3E"/>
    <w:rsid w:val="00326F8F"/>
    <w:rsid w:val="00330780"/>
    <w:rsid w:val="0033233E"/>
    <w:rsid w:val="0033234C"/>
    <w:rsid w:val="0033700F"/>
    <w:rsid w:val="00343D24"/>
    <w:rsid w:val="00346DE4"/>
    <w:rsid w:val="003471EB"/>
    <w:rsid w:val="003500AB"/>
    <w:rsid w:val="00352446"/>
    <w:rsid w:val="00355858"/>
    <w:rsid w:val="00356DC9"/>
    <w:rsid w:val="003570B0"/>
    <w:rsid w:val="00357555"/>
    <w:rsid w:val="003619DC"/>
    <w:rsid w:val="00361F12"/>
    <w:rsid w:val="0036413C"/>
    <w:rsid w:val="00365D8E"/>
    <w:rsid w:val="00372679"/>
    <w:rsid w:val="00373EC5"/>
    <w:rsid w:val="0037541D"/>
    <w:rsid w:val="003768AF"/>
    <w:rsid w:val="0037722B"/>
    <w:rsid w:val="00382236"/>
    <w:rsid w:val="0038243E"/>
    <w:rsid w:val="00385E94"/>
    <w:rsid w:val="00387E59"/>
    <w:rsid w:val="0039037A"/>
    <w:rsid w:val="003903B7"/>
    <w:rsid w:val="003952E4"/>
    <w:rsid w:val="003A34A3"/>
    <w:rsid w:val="003A5CD1"/>
    <w:rsid w:val="003B21C0"/>
    <w:rsid w:val="003B3015"/>
    <w:rsid w:val="003B380B"/>
    <w:rsid w:val="003B6439"/>
    <w:rsid w:val="003C1DB7"/>
    <w:rsid w:val="003C4C40"/>
    <w:rsid w:val="003C610A"/>
    <w:rsid w:val="003C74A3"/>
    <w:rsid w:val="003D0A35"/>
    <w:rsid w:val="003D0F0B"/>
    <w:rsid w:val="003D0FBA"/>
    <w:rsid w:val="003D4715"/>
    <w:rsid w:val="003D6F0A"/>
    <w:rsid w:val="003D7335"/>
    <w:rsid w:val="003E02C4"/>
    <w:rsid w:val="003E18B4"/>
    <w:rsid w:val="003E4BC6"/>
    <w:rsid w:val="003E5120"/>
    <w:rsid w:val="003E634B"/>
    <w:rsid w:val="003E6B4C"/>
    <w:rsid w:val="00402909"/>
    <w:rsid w:val="004054B9"/>
    <w:rsid w:val="004057AE"/>
    <w:rsid w:val="00405C11"/>
    <w:rsid w:val="00406AF2"/>
    <w:rsid w:val="00410221"/>
    <w:rsid w:val="00410F23"/>
    <w:rsid w:val="00411912"/>
    <w:rsid w:val="00430C14"/>
    <w:rsid w:val="00435FC5"/>
    <w:rsid w:val="00436A67"/>
    <w:rsid w:val="0044106F"/>
    <w:rsid w:val="00443FAF"/>
    <w:rsid w:val="00444035"/>
    <w:rsid w:val="00444D65"/>
    <w:rsid w:val="0044583E"/>
    <w:rsid w:val="00446D8D"/>
    <w:rsid w:val="00447021"/>
    <w:rsid w:val="0045027C"/>
    <w:rsid w:val="004512D7"/>
    <w:rsid w:val="00452CD1"/>
    <w:rsid w:val="00457B08"/>
    <w:rsid w:val="004634C5"/>
    <w:rsid w:val="0046483C"/>
    <w:rsid w:val="0046697A"/>
    <w:rsid w:val="00471B9A"/>
    <w:rsid w:val="00472FAC"/>
    <w:rsid w:val="00474783"/>
    <w:rsid w:val="00480010"/>
    <w:rsid w:val="004812D5"/>
    <w:rsid w:val="00484153"/>
    <w:rsid w:val="00484688"/>
    <w:rsid w:val="00486136"/>
    <w:rsid w:val="00491284"/>
    <w:rsid w:val="004948B9"/>
    <w:rsid w:val="00494B5C"/>
    <w:rsid w:val="004A33BD"/>
    <w:rsid w:val="004B1DCF"/>
    <w:rsid w:val="004B278B"/>
    <w:rsid w:val="004B5892"/>
    <w:rsid w:val="004B6285"/>
    <w:rsid w:val="004B6940"/>
    <w:rsid w:val="004B7A41"/>
    <w:rsid w:val="004C09F0"/>
    <w:rsid w:val="004C1B41"/>
    <w:rsid w:val="004C4434"/>
    <w:rsid w:val="004C4E50"/>
    <w:rsid w:val="004C540A"/>
    <w:rsid w:val="004D1E1C"/>
    <w:rsid w:val="004D1FB4"/>
    <w:rsid w:val="004D3A0D"/>
    <w:rsid w:val="004D3CA3"/>
    <w:rsid w:val="004E14DE"/>
    <w:rsid w:val="004E1C50"/>
    <w:rsid w:val="004E4D41"/>
    <w:rsid w:val="004E4F80"/>
    <w:rsid w:val="004E736C"/>
    <w:rsid w:val="004F1BBB"/>
    <w:rsid w:val="004F1F82"/>
    <w:rsid w:val="004F2539"/>
    <w:rsid w:val="004F5CFE"/>
    <w:rsid w:val="00502318"/>
    <w:rsid w:val="005026DB"/>
    <w:rsid w:val="00503DA8"/>
    <w:rsid w:val="00503DE7"/>
    <w:rsid w:val="00504115"/>
    <w:rsid w:val="005053C3"/>
    <w:rsid w:val="00511289"/>
    <w:rsid w:val="0051202B"/>
    <w:rsid w:val="00513C0F"/>
    <w:rsid w:val="0052020D"/>
    <w:rsid w:val="00520CED"/>
    <w:rsid w:val="00523324"/>
    <w:rsid w:val="00523E6A"/>
    <w:rsid w:val="00525CC2"/>
    <w:rsid w:val="005370FB"/>
    <w:rsid w:val="00537EC7"/>
    <w:rsid w:val="00542019"/>
    <w:rsid w:val="00542106"/>
    <w:rsid w:val="00542C45"/>
    <w:rsid w:val="00545EB4"/>
    <w:rsid w:val="00546521"/>
    <w:rsid w:val="00546DCE"/>
    <w:rsid w:val="00550A93"/>
    <w:rsid w:val="005510D7"/>
    <w:rsid w:val="005522AF"/>
    <w:rsid w:val="00556826"/>
    <w:rsid w:val="005609A5"/>
    <w:rsid w:val="0056197C"/>
    <w:rsid w:val="00562D7E"/>
    <w:rsid w:val="00563A53"/>
    <w:rsid w:val="00564EA9"/>
    <w:rsid w:val="00565B3E"/>
    <w:rsid w:val="0056676A"/>
    <w:rsid w:val="00571F41"/>
    <w:rsid w:val="00573A65"/>
    <w:rsid w:val="00574A14"/>
    <w:rsid w:val="00576E54"/>
    <w:rsid w:val="005808C4"/>
    <w:rsid w:val="00586C20"/>
    <w:rsid w:val="005871AC"/>
    <w:rsid w:val="00592D2F"/>
    <w:rsid w:val="00593490"/>
    <w:rsid w:val="005947AF"/>
    <w:rsid w:val="005A22F9"/>
    <w:rsid w:val="005A3497"/>
    <w:rsid w:val="005A40F4"/>
    <w:rsid w:val="005A6B95"/>
    <w:rsid w:val="005A7571"/>
    <w:rsid w:val="005B168E"/>
    <w:rsid w:val="005B3E70"/>
    <w:rsid w:val="005B4367"/>
    <w:rsid w:val="005C0FD4"/>
    <w:rsid w:val="005C4E90"/>
    <w:rsid w:val="005C5E43"/>
    <w:rsid w:val="005D186F"/>
    <w:rsid w:val="005D1E28"/>
    <w:rsid w:val="005D2A2B"/>
    <w:rsid w:val="005D4071"/>
    <w:rsid w:val="005D6F88"/>
    <w:rsid w:val="005E37A1"/>
    <w:rsid w:val="005E5EC5"/>
    <w:rsid w:val="005F0287"/>
    <w:rsid w:val="005F1FAA"/>
    <w:rsid w:val="005F2FD3"/>
    <w:rsid w:val="005F536D"/>
    <w:rsid w:val="005F588B"/>
    <w:rsid w:val="005F6532"/>
    <w:rsid w:val="005F7B4A"/>
    <w:rsid w:val="00600402"/>
    <w:rsid w:val="00600EC7"/>
    <w:rsid w:val="0060587F"/>
    <w:rsid w:val="00605E0A"/>
    <w:rsid w:val="00606B64"/>
    <w:rsid w:val="00612DC5"/>
    <w:rsid w:val="00616279"/>
    <w:rsid w:val="00617D37"/>
    <w:rsid w:val="0062139D"/>
    <w:rsid w:val="0062363A"/>
    <w:rsid w:val="0062592D"/>
    <w:rsid w:val="00625E17"/>
    <w:rsid w:val="00626ECE"/>
    <w:rsid w:val="00630E99"/>
    <w:rsid w:val="0063161B"/>
    <w:rsid w:val="0063370A"/>
    <w:rsid w:val="006348DE"/>
    <w:rsid w:val="006358EE"/>
    <w:rsid w:val="00640031"/>
    <w:rsid w:val="00647ACD"/>
    <w:rsid w:val="006500C4"/>
    <w:rsid w:val="00652A7F"/>
    <w:rsid w:val="00652BDD"/>
    <w:rsid w:val="00663657"/>
    <w:rsid w:val="00665C63"/>
    <w:rsid w:val="006674D9"/>
    <w:rsid w:val="00667E86"/>
    <w:rsid w:val="00672018"/>
    <w:rsid w:val="00673A66"/>
    <w:rsid w:val="006740DB"/>
    <w:rsid w:val="00676223"/>
    <w:rsid w:val="006776FC"/>
    <w:rsid w:val="00680540"/>
    <w:rsid w:val="006809BE"/>
    <w:rsid w:val="006809C8"/>
    <w:rsid w:val="00681298"/>
    <w:rsid w:val="0068156D"/>
    <w:rsid w:val="00682EA3"/>
    <w:rsid w:val="00687308"/>
    <w:rsid w:val="006875D6"/>
    <w:rsid w:val="006959CA"/>
    <w:rsid w:val="00695B54"/>
    <w:rsid w:val="00695C20"/>
    <w:rsid w:val="00696684"/>
    <w:rsid w:val="00697023"/>
    <w:rsid w:val="00697D89"/>
    <w:rsid w:val="006A18EF"/>
    <w:rsid w:val="006A2268"/>
    <w:rsid w:val="006A3158"/>
    <w:rsid w:val="006A466D"/>
    <w:rsid w:val="006A729D"/>
    <w:rsid w:val="006B318E"/>
    <w:rsid w:val="006C0249"/>
    <w:rsid w:val="006C10BA"/>
    <w:rsid w:val="006C301B"/>
    <w:rsid w:val="006E5BFA"/>
    <w:rsid w:val="006E5E41"/>
    <w:rsid w:val="006E7095"/>
    <w:rsid w:val="006F6E79"/>
    <w:rsid w:val="006F77D5"/>
    <w:rsid w:val="006F78A9"/>
    <w:rsid w:val="00705E3F"/>
    <w:rsid w:val="00712049"/>
    <w:rsid w:val="00712573"/>
    <w:rsid w:val="00713240"/>
    <w:rsid w:val="00717751"/>
    <w:rsid w:val="007200EC"/>
    <w:rsid w:val="0072769E"/>
    <w:rsid w:val="007302D9"/>
    <w:rsid w:val="007355D5"/>
    <w:rsid w:val="00740DF5"/>
    <w:rsid w:val="007423BA"/>
    <w:rsid w:val="0074349C"/>
    <w:rsid w:val="00745E76"/>
    <w:rsid w:val="00747646"/>
    <w:rsid w:val="0075273D"/>
    <w:rsid w:val="007546ED"/>
    <w:rsid w:val="0075505A"/>
    <w:rsid w:val="00755F5C"/>
    <w:rsid w:val="0075673B"/>
    <w:rsid w:val="007568F7"/>
    <w:rsid w:val="00761F93"/>
    <w:rsid w:val="0076524A"/>
    <w:rsid w:val="00770F71"/>
    <w:rsid w:val="007777C2"/>
    <w:rsid w:val="00777F2B"/>
    <w:rsid w:val="0078085D"/>
    <w:rsid w:val="007813A7"/>
    <w:rsid w:val="0078253C"/>
    <w:rsid w:val="0078492A"/>
    <w:rsid w:val="00785AD2"/>
    <w:rsid w:val="0079246A"/>
    <w:rsid w:val="00796627"/>
    <w:rsid w:val="00797D01"/>
    <w:rsid w:val="007A50F4"/>
    <w:rsid w:val="007A5FC9"/>
    <w:rsid w:val="007A7B54"/>
    <w:rsid w:val="007B1225"/>
    <w:rsid w:val="007B35D5"/>
    <w:rsid w:val="007B3A28"/>
    <w:rsid w:val="007B7924"/>
    <w:rsid w:val="007B7D40"/>
    <w:rsid w:val="007C019B"/>
    <w:rsid w:val="007C0F90"/>
    <w:rsid w:val="007C285E"/>
    <w:rsid w:val="007C5BEB"/>
    <w:rsid w:val="007D2A72"/>
    <w:rsid w:val="007D4201"/>
    <w:rsid w:val="007D5A59"/>
    <w:rsid w:val="007E3D77"/>
    <w:rsid w:val="007F0016"/>
    <w:rsid w:val="007F10D3"/>
    <w:rsid w:val="007F6E04"/>
    <w:rsid w:val="008015B1"/>
    <w:rsid w:val="00801DFA"/>
    <w:rsid w:val="0080393F"/>
    <w:rsid w:val="008058B7"/>
    <w:rsid w:val="00806DC1"/>
    <w:rsid w:val="008101FD"/>
    <w:rsid w:val="00811909"/>
    <w:rsid w:val="00811B2B"/>
    <w:rsid w:val="00814A77"/>
    <w:rsid w:val="00815721"/>
    <w:rsid w:val="00815DC2"/>
    <w:rsid w:val="00817FDC"/>
    <w:rsid w:val="00825A83"/>
    <w:rsid w:val="00826B07"/>
    <w:rsid w:val="00831718"/>
    <w:rsid w:val="00831E4D"/>
    <w:rsid w:val="0083235A"/>
    <w:rsid w:val="00834335"/>
    <w:rsid w:val="00834F48"/>
    <w:rsid w:val="00841BB6"/>
    <w:rsid w:val="00842B5D"/>
    <w:rsid w:val="00842D9F"/>
    <w:rsid w:val="0084513F"/>
    <w:rsid w:val="00846EF7"/>
    <w:rsid w:val="008479B7"/>
    <w:rsid w:val="00850EE3"/>
    <w:rsid w:val="008517DF"/>
    <w:rsid w:val="00851C5A"/>
    <w:rsid w:val="008571AE"/>
    <w:rsid w:val="0086064A"/>
    <w:rsid w:val="00867427"/>
    <w:rsid w:val="00867B83"/>
    <w:rsid w:val="008702B1"/>
    <w:rsid w:val="0087250A"/>
    <w:rsid w:val="00872C60"/>
    <w:rsid w:val="008749F6"/>
    <w:rsid w:val="008768C5"/>
    <w:rsid w:val="00876B7D"/>
    <w:rsid w:val="00880500"/>
    <w:rsid w:val="0088157B"/>
    <w:rsid w:val="00884958"/>
    <w:rsid w:val="00885A54"/>
    <w:rsid w:val="0088634E"/>
    <w:rsid w:val="00893877"/>
    <w:rsid w:val="00893CB2"/>
    <w:rsid w:val="008943FC"/>
    <w:rsid w:val="00896069"/>
    <w:rsid w:val="00896611"/>
    <w:rsid w:val="00896721"/>
    <w:rsid w:val="008A1CED"/>
    <w:rsid w:val="008A2EE0"/>
    <w:rsid w:val="008A559A"/>
    <w:rsid w:val="008A5881"/>
    <w:rsid w:val="008A67CE"/>
    <w:rsid w:val="008B0C3A"/>
    <w:rsid w:val="008B3C35"/>
    <w:rsid w:val="008B7A4D"/>
    <w:rsid w:val="008C0F50"/>
    <w:rsid w:val="008C68E0"/>
    <w:rsid w:val="008C79E6"/>
    <w:rsid w:val="008D319A"/>
    <w:rsid w:val="008D339A"/>
    <w:rsid w:val="008D6AD4"/>
    <w:rsid w:val="008D7959"/>
    <w:rsid w:val="008E2B61"/>
    <w:rsid w:val="008E579E"/>
    <w:rsid w:val="008E5FA3"/>
    <w:rsid w:val="008E7000"/>
    <w:rsid w:val="008F2313"/>
    <w:rsid w:val="008F2411"/>
    <w:rsid w:val="008F740B"/>
    <w:rsid w:val="00900D74"/>
    <w:rsid w:val="009012A0"/>
    <w:rsid w:val="00901C79"/>
    <w:rsid w:val="009025A8"/>
    <w:rsid w:val="00902664"/>
    <w:rsid w:val="00910251"/>
    <w:rsid w:val="0091348D"/>
    <w:rsid w:val="009272A8"/>
    <w:rsid w:val="00927DDA"/>
    <w:rsid w:val="00927F74"/>
    <w:rsid w:val="00932D0D"/>
    <w:rsid w:val="00932E5A"/>
    <w:rsid w:val="009333EC"/>
    <w:rsid w:val="0093392F"/>
    <w:rsid w:val="00935D47"/>
    <w:rsid w:val="00940357"/>
    <w:rsid w:val="0094449C"/>
    <w:rsid w:val="00945A38"/>
    <w:rsid w:val="00945D52"/>
    <w:rsid w:val="00951C69"/>
    <w:rsid w:val="0095216D"/>
    <w:rsid w:val="0096125A"/>
    <w:rsid w:val="009646BF"/>
    <w:rsid w:val="00966B51"/>
    <w:rsid w:val="00970AFB"/>
    <w:rsid w:val="00972D8D"/>
    <w:rsid w:val="00975AD4"/>
    <w:rsid w:val="00976F93"/>
    <w:rsid w:val="00977C4E"/>
    <w:rsid w:val="00980074"/>
    <w:rsid w:val="00982F32"/>
    <w:rsid w:val="00983CB3"/>
    <w:rsid w:val="00984F9B"/>
    <w:rsid w:val="009861B3"/>
    <w:rsid w:val="00986BA1"/>
    <w:rsid w:val="009943FB"/>
    <w:rsid w:val="00994DDB"/>
    <w:rsid w:val="009952A9"/>
    <w:rsid w:val="00996DB5"/>
    <w:rsid w:val="009976FC"/>
    <w:rsid w:val="009A354A"/>
    <w:rsid w:val="009A3B33"/>
    <w:rsid w:val="009A5E94"/>
    <w:rsid w:val="009A63B8"/>
    <w:rsid w:val="009A76EE"/>
    <w:rsid w:val="009B441F"/>
    <w:rsid w:val="009B6FCE"/>
    <w:rsid w:val="009C10DF"/>
    <w:rsid w:val="009C1678"/>
    <w:rsid w:val="009C390C"/>
    <w:rsid w:val="009C433B"/>
    <w:rsid w:val="009C511D"/>
    <w:rsid w:val="009C5CA8"/>
    <w:rsid w:val="009D0816"/>
    <w:rsid w:val="009D1073"/>
    <w:rsid w:val="009D11FF"/>
    <w:rsid w:val="009D1D15"/>
    <w:rsid w:val="009D3665"/>
    <w:rsid w:val="009D6754"/>
    <w:rsid w:val="009D7427"/>
    <w:rsid w:val="009E0185"/>
    <w:rsid w:val="009E2A6F"/>
    <w:rsid w:val="009F525B"/>
    <w:rsid w:val="009F568C"/>
    <w:rsid w:val="00A01C2C"/>
    <w:rsid w:val="00A02457"/>
    <w:rsid w:val="00A06DD1"/>
    <w:rsid w:val="00A13228"/>
    <w:rsid w:val="00A17A84"/>
    <w:rsid w:val="00A20846"/>
    <w:rsid w:val="00A217FE"/>
    <w:rsid w:val="00A22074"/>
    <w:rsid w:val="00A23D6D"/>
    <w:rsid w:val="00A24338"/>
    <w:rsid w:val="00A30D29"/>
    <w:rsid w:val="00A33583"/>
    <w:rsid w:val="00A3383C"/>
    <w:rsid w:val="00A34E5C"/>
    <w:rsid w:val="00A35D6B"/>
    <w:rsid w:val="00A416BF"/>
    <w:rsid w:val="00A42C4D"/>
    <w:rsid w:val="00A442DE"/>
    <w:rsid w:val="00A44D16"/>
    <w:rsid w:val="00A62161"/>
    <w:rsid w:val="00A703E9"/>
    <w:rsid w:val="00A74932"/>
    <w:rsid w:val="00A772F0"/>
    <w:rsid w:val="00A80B5A"/>
    <w:rsid w:val="00A83F8B"/>
    <w:rsid w:val="00A8410D"/>
    <w:rsid w:val="00A857DA"/>
    <w:rsid w:val="00A878A9"/>
    <w:rsid w:val="00A908B6"/>
    <w:rsid w:val="00A90CAB"/>
    <w:rsid w:val="00A91D0A"/>
    <w:rsid w:val="00A93753"/>
    <w:rsid w:val="00A96370"/>
    <w:rsid w:val="00A9671F"/>
    <w:rsid w:val="00AA12B8"/>
    <w:rsid w:val="00AA2420"/>
    <w:rsid w:val="00AA2F15"/>
    <w:rsid w:val="00AA36C0"/>
    <w:rsid w:val="00AA46F2"/>
    <w:rsid w:val="00AB10F4"/>
    <w:rsid w:val="00AB20DF"/>
    <w:rsid w:val="00AB75B5"/>
    <w:rsid w:val="00AC1C80"/>
    <w:rsid w:val="00AC1DC8"/>
    <w:rsid w:val="00AC5DB0"/>
    <w:rsid w:val="00AC7154"/>
    <w:rsid w:val="00AC7483"/>
    <w:rsid w:val="00AD1647"/>
    <w:rsid w:val="00AD4181"/>
    <w:rsid w:val="00AD578A"/>
    <w:rsid w:val="00AD7444"/>
    <w:rsid w:val="00AE23D4"/>
    <w:rsid w:val="00AE2CD6"/>
    <w:rsid w:val="00AE49A4"/>
    <w:rsid w:val="00AE4F10"/>
    <w:rsid w:val="00AE53F6"/>
    <w:rsid w:val="00AE5477"/>
    <w:rsid w:val="00AF1487"/>
    <w:rsid w:val="00B020EE"/>
    <w:rsid w:val="00B038D0"/>
    <w:rsid w:val="00B0507A"/>
    <w:rsid w:val="00B056FD"/>
    <w:rsid w:val="00B12A17"/>
    <w:rsid w:val="00B12D83"/>
    <w:rsid w:val="00B13621"/>
    <w:rsid w:val="00B144B8"/>
    <w:rsid w:val="00B15BB5"/>
    <w:rsid w:val="00B172BC"/>
    <w:rsid w:val="00B2001F"/>
    <w:rsid w:val="00B22914"/>
    <w:rsid w:val="00B23C3E"/>
    <w:rsid w:val="00B23EE4"/>
    <w:rsid w:val="00B25D3F"/>
    <w:rsid w:val="00B36668"/>
    <w:rsid w:val="00B36CB9"/>
    <w:rsid w:val="00B47CE2"/>
    <w:rsid w:val="00B50310"/>
    <w:rsid w:val="00B532EC"/>
    <w:rsid w:val="00B568E1"/>
    <w:rsid w:val="00B623A6"/>
    <w:rsid w:val="00B6495B"/>
    <w:rsid w:val="00B64BFA"/>
    <w:rsid w:val="00B706A2"/>
    <w:rsid w:val="00B71408"/>
    <w:rsid w:val="00B71769"/>
    <w:rsid w:val="00B735DF"/>
    <w:rsid w:val="00B74A9E"/>
    <w:rsid w:val="00B758E7"/>
    <w:rsid w:val="00B82E72"/>
    <w:rsid w:val="00B84BD3"/>
    <w:rsid w:val="00B85066"/>
    <w:rsid w:val="00B854DA"/>
    <w:rsid w:val="00B87EAD"/>
    <w:rsid w:val="00B92BAA"/>
    <w:rsid w:val="00B940F9"/>
    <w:rsid w:val="00B950BD"/>
    <w:rsid w:val="00BA0673"/>
    <w:rsid w:val="00BA1946"/>
    <w:rsid w:val="00BA5BAF"/>
    <w:rsid w:val="00BA6DE3"/>
    <w:rsid w:val="00BA7947"/>
    <w:rsid w:val="00BB0753"/>
    <w:rsid w:val="00BB1066"/>
    <w:rsid w:val="00BB1630"/>
    <w:rsid w:val="00BB3827"/>
    <w:rsid w:val="00BB3F99"/>
    <w:rsid w:val="00BB4096"/>
    <w:rsid w:val="00BB5FC3"/>
    <w:rsid w:val="00BB6F4C"/>
    <w:rsid w:val="00BB75A7"/>
    <w:rsid w:val="00BC154C"/>
    <w:rsid w:val="00BC2CFA"/>
    <w:rsid w:val="00BC5A15"/>
    <w:rsid w:val="00BC6335"/>
    <w:rsid w:val="00BD1C76"/>
    <w:rsid w:val="00BE05E7"/>
    <w:rsid w:val="00BE0A7C"/>
    <w:rsid w:val="00BE6D1B"/>
    <w:rsid w:val="00BE7965"/>
    <w:rsid w:val="00BF0009"/>
    <w:rsid w:val="00BF2227"/>
    <w:rsid w:val="00C01C01"/>
    <w:rsid w:val="00C05394"/>
    <w:rsid w:val="00C0626E"/>
    <w:rsid w:val="00C112A3"/>
    <w:rsid w:val="00C136DD"/>
    <w:rsid w:val="00C2583B"/>
    <w:rsid w:val="00C30B60"/>
    <w:rsid w:val="00C312B3"/>
    <w:rsid w:val="00C341C0"/>
    <w:rsid w:val="00C37A66"/>
    <w:rsid w:val="00C41008"/>
    <w:rsid w:val="00C41C0C"/>
    <w:rsid w:val="00C46685"/>
    <w:rsid w:val="00C47F3A"/>
    <w:rsid w:val="00C503A5"/>
    <w:rsid w:val="00C5478D"/>
    <w:rsid w:val="00C55636"/>
    <w:rsid w:val="00C578A3"/>
    <w:rsid w:val="00C578C6"/>
    <w:rsid w:val="00C64220"/>
    <w:rsid w:val="00C64F2E"/>
    <w:rsid w:val="00C66B38"/>
    <w:rsid w:val="00C74750"/>
    <w:rsid w:val="00C77265"/>
    <w:rsid w:val="00C81058"/>
    <w:rsid w:val="00C8391D"/>
    <w:rsid w:val="00C86516"/>
    <w:rsid w:val="00C874D4"/>
    <w:rsid w:val="00C90D53"/>
    <w:rsid w:val="00C90E67"/>
    <w:rsid w:val="00C9150F"/>
    <w:rsid w:val="00C94F1D"/>
    <w:rsid w:val="00C959D4"/>
    <w:rsid w:val="00C967CA"/>
    <w:rsid w:val="00CA25FC"/>
    <w:rsid w:val="00CA2FFA"/>
    <w:rsid w:val="00CA44DE"/>
    <w:rsid w:val="00CA585B"/>
    <w:rsid w:val="00CA782B"/>
    <w:rsid w:val="00CC02A1"/>
    <w:rsid w:val="00CC71C1"/>
    <w:rsid w:val="00CD0D1C"/>
    <w:rsid w:val="00CD36F1"/>
    <w:rsid w:val="00CD39BF"/>
    <w:rsid w:val="00CD49BE"/>
    <w:rsid w:val="00CE02C7"/>
    <w:rsid w:val="00CE0E0B"/>
    <w:rsid w:val="00CE40B6"/>
    <w:rsid w:val="00CE5E18"/>
    <w:rsid w:val="00CF21C1"/>
    <w:rsid w:val="00CF2A6B"/>
    <w:rsid w:val="00CF61BE"/>
    <w:rsid w:val="00CF6ACB"/>
    <w:rsid w:val="00D0170C"/>
    <w:rsid w:val="00D0777C"/>
    <w:rsid w:val="00D15342"/>
    <w:rsid w:val="00D17A49"/>
    <w:rsid w:val="00D20D58"/>
    <w:rsid w:val="00D215BC"/>
    <w:rsid w:val="00D24B7B"/>
    <w:rsid w:val="00D25571"/>
    <w:rsid w:val="00D27427"/>
    <w:rsid w:val="00D31B73"/>
    <w:rsid w:val="00D34579"/>
    <w:rsid w:val="00D355C4"/>
    <w:rsid w:val="00D36E02"/>
    <w:rsid w:val="00D42E4E"/>
    <w:rsid w:val="00D43FFA"/>
    <w:rsid w:val="00D51856"/>
    <w:rsid w:val="00D52612"/>
    <w:rsid w:val="00D52DFA"/>
    <w:rsid w:val="00D54DE6"/>
    <w:rsid w:val="00D57471"/>
    <w:rsid w:val="00D60A2D"/>
    <w:rsid w:val="00D70F2B"/>
    <w:rsid w:val="00D71A00"/>
    <w:rsid w:val="00D7237E"/>
    <w:rsid w:val="00D75579"/>
    <w:rsid w:val="00D7584B"/>
    <w:rsid w:val="00D77F16"/>
    <w:rsid w:val="00D855C2"/>
    <w:rsid w:val="00D8593E"/>
    <w:rsid w:val="00D86E32"/>
    <w:rsid w:val="00D9370F"/>
    <w:rsid w:val="00D939B5"/>
    <w:rsid w:val="00D93BED"/>
    <w:rsid w:val="00D95E31"/>
    <w:rsid w:val="00DA2E55"/>
    <w:rsid w:val="00DA4BD3"/>
    <w:rsid w:val="00DA4FCF"/>
    <w:rsid w:val="00DB13D9"/>
    <w:rsid w:val="00DB18A1"/>
    <w:rsid w:val="00DB3B93"/>
    <w:rsid w:val="00DB6AFA"/>
    <w:rsid w:val="00DB6E8C"/>
    <w:rsid w:val="00DB71D3"/>
    <w:rsid w:val="00DC345E"/>
    <w:rsid w:val="00DC4832"/>
    <w:rsid w:val="00DC5ED9"/>
    <w:rsid w:val="00DC5FE6"/>
    <w:rsid w:val="00DC7AE1"/>
    <w:rsid w:val="00DD327E"/>
    <w:rsid w:val="00DD3F07"/>
    <w:rsid w:val="00DD654E"/>
    <w:rsid w:val="00DD7BA8"/>
    <w:rsid w:val="00DE1FF7"/>
    <w:rsid w:val="00DE31BB"/>
    <w:rsid w:val="00DE77FE"/>
    <w:rsid w:val="00DE7B1F"/>
    <w:rsid w:val="00DF18D4"/>
    <w:rsid w:val="00DF5413"/>
    <w:rsid w:val="00DF5616"/>
    <w:rsid w:val="00DF6404"/>
    <w:rsid w:val="00E012B5"/>
    <w:rsid w:val="00E02410"/>
    <w:rsid w:val="00E07B45"/>
    <w:rsid w:val="00E10800"/>
    <w:rsid w:val="00E11DDC"/>
    <w:rsid w:val="00E12A43"/>
    <w:rsid w:val="00E20B69"/>
    <w:rsid w:val="00E2228B"/>
    <w:rsid w:val="00E25151"/>
    <w:rsid w:val="00E27DF7"/>
    <w:rsid w:val="00E307CA"/>
    <w:rsid w:val="00E3129D"/>
    <w:rsid w:val="00E315DB"/>
    <w:rsid w:val="00E3496A"/>
    <w:rsid w:val="00E35EA6"/>
    <w:rsid w:val="00E3604E"/>
    <w:rsid w:val="00E37842"/>
    <w:rsid w:val="00E403F9"/>
    <w:rsid w:val="00E40571"/>
    <w:rsid w:val="00E47C73"/>
    <w:rsid w:val="00E55D99"/>
    <w:rsid w:val="00E56211"/>
    <w:rsid w:val="00E567F5"/>
    <w:rsid w:val="00E56DE8"/>
    <w:rsid w:val="00E70032"/>
    <w:rsid w:val="00E72912"/>
    <w:rsid w:val="00E74C21"/>
    <w:rsid w:val="00E75685"/>
    <w:rsid w:val="00E7597A"/>
    <w:rsid w:val="00E802F9"/>
    <w:rsid w:val="00E833A0"/>
    <w:rsid w:val="00E84810"/>
    <w:rsid w:val="00E85CD3"/>
    <w:rsid w:val="00E910C9"/>
    <w:rsid w:val="00E926D6"/>
    <w:rsid w:val="00E92A75"/>
    <w:rsid w:val="00E9386A"/>
    <w:rsid w:val="00E951B8"/>
    <w:rsid w:val="00E954F0"/>
    <w:rsid w:val="00E97E76"/>
    <w:rsid w:val="00EA0D8D"/>
    <w:rsid w:val="00EA2074"/>
    <w:rsid w:val="00EA3ED6"/>
    <w:rsid w:val="00EA60E4"/>
    <w:rsid w:val="00EA66E1"/>
    <w:rsid w:val="00EA703D"/>
    <w:rsid w:val="00EB5544"/>
    <w:rsid w:val="00EB6D01"/>
    <w:rsid w:val="00EB6FA2"/>
    <w:rsid w:val="00EB723D"/>
    <w:rsid w:val="00EB7B90"/>
    <w:rsid w:val="00EC2367"/>
    <w:rsid w:val="00ED022F"/>
    <w:rsid w:val="00ED3ADD"/>
    <w:rsid w:val="00ED3FDF"/>
    <w:rsid w:val="00EE1565"/>
    <w:rsid w:val="00EE2D55"/>
    <w:rsid w:val="00EE3911"/>
    <w:rsid w:val="00EE3951"/>
    <w:rsid w:val="00EE4CA7"/>
    <w:rsid w:val="00EF0E41"/>
    <w:rsid w:val="00EF4DE9"/>
    <w:rsid w:val="00EF59BE"/>
    <w:rsid w:val="00EF5FAF"/>
    <w:rsid w:val="00EF7766"/>
    <w:rsid w:val="00F037DC"/>
    <w:rsid w:val="00F06A0B"/>
    <w:rsid w:val="00F13F05"/>
    <w:rsid w:val="00F147D8"/>
    <w:rsid w:val="00F15493"/>
    <w:rsid w:val="00F15DD3"/>
    <w:rsid w:val="00F17607"/>
    <w:rsid w:val="00F17EBC"/>
    <w:rsid w:val="00F20BF8"/>
    <w:rsid w:val="00F23E00"/>
    <w:rsid w:val="00F24D84"/>
    <w:rsid w:val="00F2787A"/>
    <w:rsid w:val="00F31087"/>
    <w:rsid w:val="00F3414D"/>
    <w:rsid w:val="00F342D8"/>
    <w:rsid w:val="00F3626E"/>
    <w:rsid w:val="00F36FC7"/>
    <w:rsid w:val="00F37FCD"/>
    <w:rsid w:val="00F4291B"/>
    <w:rsid w:val="00F43DF6"/>
    <w:rsid w:val="00F4791E"/>
    <w:rsid w:val="00F56CD3"/>
    <w:rsid w:val="00F672CC"/>
    <w:rsid w:val="00F714E8"/>
    <w:rsid w:val="00F73498"/>
    <w:rsid w:val="00F751B4"/>
    <w:rsid w:val="00F801E5"/>
    <w:rsid w:val="00F84298"/>
    <w:rsid w:val="00F859BE"/>
    <w:rsid w:val="00F873A7"/>
    <w:rsid w:val="00F9219A"/>
    <w:rsid w:val="00F957F4"/>
    <w:rsid w:val="00F95822"/>
    <w:rsid w:val="00F96B8F"/>
    <w:rsid w:val="00F96F83"/>
    <w:rsid w:val="00F97F9C"/>
    <w:rsid w:val="00FA06EE"/>
    <w:rsid w:val="00FA283E"/>
    <w:rsid w:val="00FA48CB"/>
    <w:rsid w:val="00FB097E"/>
    <w:rsid w:val="00FB74AF"/>
    <w:rsid w:val="00FC027B"/>
    <w:rsid w:val="00FC0C40"/>
    <w:rsid w:val="00FC12BF"/>
    <w:rsid w:val="00FC34D2"/>
    <w:rsid w:val="00FC3EBF"/>
    <w:rsid w:val="00FD0128"/>
    <w:rsid w:val="00FD2A2C"/>
    <w:rsid w:val="00FD5B2C"/>
    <w:rsid w:val="00FD6036"/>
    <w:rsid w:val="00FD657F"/>
    <w:rsid w:val="00FD6785"/>
    <w:rsid w:val="00FD6850"/>
    <w:rsid w:val="00FE10D2"/>
    <w:rsid w:val="00FF5117"/>
    <w:rsid w:val="00FF55E4"/>
    <w:rsid w:val="010F7FF3"/>
    <w:rsid w:val="0150435B"/>
    <w:rsid w:val="017B11E4"/>
    <w:rsid w:val="017E3102"/>
    <w:rsid w:val="019A399C"/>
    <w:rsid w:val="01A53332"/>
    <w:rsid w:val="021E11C6"/>
    <w:rsid w:val="022C6982"/>
    <w:rsid w:val="02800109"/>
    <w:rsid w:val="02ED7EC0"/>
    <w:rsid w:val="033237B6"/>
    <w:rsid w:val="03470D29"/>
    <w:rsid w:val="03B26B96"/>
    <w:rsid w:val="03E078F3"/>
    <w:rsid w:val="03E101A1"/>
    <w:rsid w:val="0442383C"/>
    <w:rsid w:val="04444201"/>
    <w:rsid w:val="052102F4"/>
    <w:rsid w:val="05962A91"/>
    <w:rsid w:val="06335DD2"/>
    <w:rsid w:val="0657110D"/>
    <w:rsid w:val="06897EFF"/>
    <w:rsid w:val="069C0701"/>
    <w:rsid w:val="072177FB"/>
    <w:rsid w:val="074B3407"/>
    <w:rsid w:val="075C18F8"/>
    <w:rsid w:val="07835682"/>
    <w:rsid w:val="07A33243"/>
    <w:rsid w:val="07AF43BF"/>
    <w:rsid w:val="07BE007D"/>
    <w:rsid w:val="07F86735"/>
    <w:rsid w:val="07FA451A"/>
    <w:rsid w:val="082B53C2"/>
    <w:rsid w:val="087E2D1C"/>
    <w:rsid w:val="088F7F23"/>
    <w:rsid w:val="08BF53BA"/>
    <w:rsid w:val="08C47176"/>
    <w:rsid w:val="08DB2FD9"/>
    <w:rsid w:val="08EE4992"/>
    <w:rsid w:val="091B7A91"/>
    <w:rsid w:val="09331ABF"/>
    <w:rsid w:val="0935557F"/>
    <w:rsid w:val="0937357F"/>
    <w:rsid w:val="096D1D5A"/>
    <w:rsid w:val="099E1F14"/>
    <w:rsid w:val="09A60DC8"/>
    <w:rsid w:val="0A2368BD"/>
    <w:rsid w:val="0A6A4AEA"/>
    <w:rsid w:val="0A6D33EB"/>
    <w:rsid w:val="0AEC6C1D"/>
    <w:rsid w:val="0AF576A4"/>
    <w:rsid w:val="0B301AC6"/>
    <w:rsid w:val="0B62538F"/>
    <w:rsid w:val="0B9A6334"/>
    <w:rsid w:val="0BBC2B25"/>
    <w:rsid w:val="0BBD0942"/>
    <w:rsid w:val="0C41302A"/>
    <w:rsid w:val="0C954FB5"/>
    <w:rsid w:val="0C9C1066"/>
    <w:rsid w:val="0D9F625A"/>
    <w:rsid w:val="0DE90421"/>
    <w:rsid w:val="0E7B6CC7"/>
    <w:rsid w:val="0EAC0C2F"/>
    <w:rsid w:val="0EB2798B"/>
    <w:rsid w:val="0EB421D9"/>
    <w:rsid w:val="0EC334E1"/>
    <w:rsid w:val="0F154152"/>
    <w:rsid w:val="0F931DEF"/>
    <w:rsid w:val="0FAC5F29"/>
    <w:rsid w:val="0FBB29F6"/>
    <w:rsid w:val="0FED474E"/>
    <w:rsid w:val="10001322"/>
    <w:rsid w:val="10865E88"/>
    <w:rsid w:val="10974033"/>
    <w:rsid w:val="109C3357"/>
    <w:rsid w:val="10AF4110"/>
    <w:rsid w:val="10C72BB8"/>
    <w:rsid w:val="10D773FA"/>
    <w:rsid w:val="11252F1A"/>
    <w:rsid w:val="11472E91"/>
    <w:rsid w:val="119D0D03"/>
    <w:rsid w:val="11CB2733"/>
    <w:rsid w:val="1243692C"/>
    <w:rsid w:val="127E0B34"/>
    <w:rsid w:val="12E56E05"/>
    <w:rsid w:val="137809C1"/>
    <w:rsid w:val="138E4DA7"/>
    <w:rsid w:val="14217BBB"/>
    <w:rsid w:val="145639A7"/>
    <w:rsid w:val="146D5F25"/>
    <w:rsid w:val="147A4CEA"/>
    <w:rsid w:val="1492732D"/>
    <w:rsid w:val="14B11D3B"/>
    <w:rsid w:val="15095513"/>
    <w:rsid w:val="15160286"/>
    <w:rsid w:val="153656F6"/>
    <w:rsid w:val="153C0833"/>
    <w:rsid w:val="159B5133"/>
    <w:rsid w:val="15FA2872"/>
    <w:rsid w:val="163969D6"/>
    <w:rsid w:val="165C1691"/>
    <w:rsid w:val="168E0B31"/>
    <w:rsid w:val="16DC407B"/>
    <w:rsid w:val="16EA49EA"/>
    <w:rsid w:val="175C6B07"/>
    <w:rsid w:val="175E3CFD"/>
    <w:rsid w:val="17712A16"/>
    <w:rsid w:val="18116229"/>
    <w:rsid w:val="18693423"/>
    <w:rsid w:val="18AF5EEB"/>
    <w:rsid w:val="18D1397E"/>
    <w:rsid w:val="19550074"/>
    <w:rsid w:val="195E2C04"/>
    <w:rsid w:val="199F46D7"/>
    <w:rsid w:val="1A4C57B5"/>
    <w:rsid w:val="1A676352"/>
    <w:rsid w:val="1A6A3B28"/>
    <w:rsid w:val="1A967351"/>
    <w:rsid w:val="1AB931EA"/>
    <w:rsid w:val="1B5763C6"/>
    <w:rsid w:val="1B645B40"/>
    <w:rsid w:val="1B6E1810"/>
    <w:rsid w:val="1BE17657"/>
    <w:rsid w:val="1BE94049"/>
    <w:rsid w:val="1BEA0FE8"/>
    <w:rsid w:val="1BED2887"/>
    <w:rsid w:val="1BFF6818"/>
    <w:rsid w:val="1C43370A"/>
    <w:rsid w:val="1C4A1A87"/>
    <w:rsid w:val="1CAF35E4"/>
    <w:rsid w:val="1CDB34F5"/>
    <w:rsid w:val="1D0C4B86"/>
    <w:rsid w:val="1D797AC3"/>
    <w:rsid w:val="1D964ABA"/>
    <w:rsid w:val="1DDC5928"/>
    <w:rsid w:val="1E470974"/>
    <w:rsid w:val="1E641DBE"/>
    <w:rsid w:val="1EC24C8C"/>
    <w:rsid w:val="1EDC5972"/>
    <w:rsid w:val="1F08736A"/>
    <w:rsid w:val="1F455A65"/>
    <w:rsid w:val="1F6D07C1"/>
    <w:rsid w:val="1F6D4792"/>
    <w:rsid w:val="1FBF0E2C"/>
    <w:rsid w:val="20057B77"/>
    <w:rsid w:val="20196340"/>
    <w:rsid w:val="20390771"/>
    <w:rsid w:val="204131A1"/>
    <w:rsid w:val="204328F8"/>
    <w:rsid w:val="2044711D"/>
    <w:rsid w:val="20730A4C"/>
    <w:rsid w:val="2080194F"/>
    <w:rsid w:val="20A16856"/>
    <w:rsid w:val="20A50094"/>
    <w:rsid w:val="20A525DD"/>
    <w:rsid w:val="20A82D00"/>
    <w:rsid w:val="20B971DB"/>
    <w:rsid w:val="20D20DD1"/>
    <w:rsid w:val="20EE63AE"/>
    <w:rsid w:val="2115109A"/>
    <w:rsid w:val="2188552B"/>
    <w:rsid w:val="21921716"/>
    <w:rsid w:val="21D92672"/>
    <w:rsid w:val="21DD3B4F"/>
    <w:rsid w:val="21FF50C2"/>
    <w:rsid w:val="222549EA"/>
    <w:rsid w:val="222C1C96"/>
    <w:rsid w:val="223B3AE5"/>
    <w:rsid w:val="226C09A9"/>
    <w:rsid w:val="226D31C7"/>
    <w:rsid w:val="22720F54"/>
    <w:rsid w:val="22AE0FC2"/>
    <w:rsid w:val="22B73F44"/>
    <w:rsid w:val="22B8599C"/>
    <w:rsid w:val="22C14FEF"/>
    <w:rsid w:val="22D64153"/>
    <w:rsid w:val="22EA6670"/>
    <w:rsid w:val="232B0521"/>
    <w:rsid w:val="237C10C0"/>
    <w:rsid w:val="23A26A41"/>
    <w:rsid w:val="23BF77BF"/>
    <w:rsid w:val="241E3F25"/>
    <w:rsid w:val="244E63CC"/>
    <w:rsid w:val="247F6750"/>
    <w:rsid w:val="24A73F1B"/>
    <w:rsid w:val="25121F46"/>
    <w:rsid w:val="254276EE"/>
    <w:rsid w:val="254D6D9A"/>
    <w:rsid w:val="25814FFE"/>
    <w:rsid w:val="25DA5423"/>
    <w:rsid w:val="270B2D9A"/>
    <w:rsid w:val="27275C4C"/>
    <w:rsid w:val="273B3040"/>
    <w:rsid w:val="276B56D3"/>
    <w:rsid w:val="27856069"/>
    <w:rsid w:val="278D1332"/>
    <w:rsid w:val="27B71DD0"/>
    <w:rsid w:val="27E92A9C"/>
    <w:rsid w:val="28071805"/>
    <w:rsid w:val="280D3926"/>
    <w:rsid w:val="28186133"/>
    <w:rsid w:val="283454E6"/>
    <w:rsid w:val="28414686"/>
    <w:rsid w:val="28420F10"/>
    <w:rsid w:val="285C14C0"/>
    <w:rsid w:val="28665E9B"/>
    <w:rsid w:val="28691AF3"/>
    <w:rsid w:val="286A64B7"/>
    <w:rsid w:val="28904CC6"/>
    <w:rsid w:val="289933AC"/>
    <w:rsid w:val="28B91EC7"/>
    <w:rsid w:val="28EC45F2"/>
    <w:rsid w:val="294206B6"/>
    <w:rsid w:val="2987256D"/>
    <w:rsid w:val="29FF7499"/>
    <w:rsid w:val="2A177009"/>
    <w:rsid w:val="2A321A45"/>
    <w:rsid w:val="2AE57C31"/>
    <w:rsid w:val="2B581684"/>
    <w:rsid w:val="2B68667F"/>
    <w:rsid w:val="2B786611"/>
    <w:rsid w:val="2B795EE5"/>
    <w:rsid w:val="2BA85813"/>
    <w:rsid w:val="2BA900D4"/>
    <w:rsid w:val="2C1616DB"/>
    <w:rsid w:val="2C1B6F9C"/>
    <w:rsid w:val="2C416A03"/>
    <w:rsid w:val="2C583D4C"/>
    <w:rsid w:val="2C7F577D"/>
    <w:rsid w:val="2CA945A8"/>
    <w:rsid w:val="2CB92B5E"/>
    <w:rsid w:val="2D4F5C86"/>
    <w:rsid w:val="2D7629A2"/>
    <w:rsid w:val="2D9C6D5B"/>
    <w:rsid w:val="2D9D5F13"/>
    <w:rsid w:val="2DC24DA9"/>
    <w:rsid w:val="2E2C2265"/>
    <w:rsid w:val="2E5642BC"/>
    <w:rsid w:val="2E6958EF"/>
    <w:rsid w:val="2E9E702D"/>
    <w:rsid w:val="2ECB2EFB"/>
    <w:rsid w:val="2EEB423C"/>
    <w:rsid w:val="2F451F8A"/>
    <w:rsid w:val="2F5366B3"/>
    <w:rsid w:val="2F5707D5"/>
    <w:rsid w:val="2F882B9B"/>
    <w:rsid w:val="2F891D8E"/>
    <w:rsid w:val="2FB259CA"/>
    <w:rsid w:val="2FE9740C"/>
    <w:rsid w:val="2FF62F5C"/>
    <w:rsid w:val="3002294D"/>
    <w:rsid w:val="30166F7A"/>
    <w:rsid w:val="305877C3"/>
    <w:rsid w:val="306E3B3E"/>
    <w:rsid w:val="30890C03"/>
    <w:rsid w:val="30A84619"/>
    <w:rsid w:val="30B6477A"/>
    <w:rsid w:val="30DD17B8"/>
    <w:rsid w:val="30E371D8"/>
    <w:rsid w:val="315A2315"/>
    <w:rsid w:val="317D5CE6"/>
    <w:rsid w:val="32236BAB"/>
    <w:rsid w:val="32AE7CC9"/>
    <w:rsid w:val="32B00D56"/>
    <w:rsid w:val="32C4034C"/>
    <w:rsid w:val="32E84156"/>
    <w:rsid w:val="32F2354C"/>
    <w:rsid w:val="32F43417"/>
    <w:rsid w:val="33102351"/>
    <w:rsid w:val="3325289C"/>
    <w:rsid w:val="33641229"/>
    <w:rsid w:val="339B7340"/>
    <w:rsid w:val="33B06C14"/>
    <w:rsid w:val="33B63F0B"/>
    <w:rsid w:val="342D5FA4"/>
    <w:rsid w:val="344057F2"/>
    <w:rsid w:val="34621DF9"/>
    <w:rsid w:val="348F170C"/>
    <w:rsid w:val="34A00474"/>
    <w:rsid w:val="34B8182C"/>
    <w:rsid w:val="34BD32E6"/>
    <w:rsid w:val="34F465A3"/>
    <w:rsid w:val="35131158"/>
    <w:rsid w:val="352262AE"/>
    <w:rsid w:val="353248D2"/>
    <w:rsid w:val="3541172B"/>
    <w:rsid w:val="35685C44"/>
    <w:rsid w:val="35761320"/>
    <w:rsid w:val="359342B5"/>
    <w:rsid w:val="35C236B1"/>
    <w:rsid w:val="35D9291B"/>
    <w:rsid w:val="360E2E9B"/>
    <w:rsid w:val="36454AF6"/>
    <w:rsid w:val="36625BB4"/>
    <w:rsid w:val="36CA348C"/>
    <w:rsid w:val="36D3576B"/>
    <w:rsid w:val="36DF7544"/>
    <w:rsid w:val="370E607B"/>
    <w:rsid w:val="374F6166"/>
    <w:rsid w:val="37C17AEC"/>
    <w:rsid w:val="37CE3417"/>
    <w:rsid w:val="37D211AA"/>
    <w:rsid w:val="37E37CD3"/>
    <w:rsid w:val="37F46E66"/>
    <w:rsid w:val="37F52FBF"/>
    <w:rsid w:val="38267406"/>
    <w:rsid w:val="38406BDF"/>
    <w:rsid w:val="3861141D"/>
    <w:rsid w:val="388E2157"/>
    <w:rsid w:val="38CE5AC2"/>
    <w:rsid w:val="390C0398"/>
    <w:rsid w:val="39230FF3"/>
    <w:rsid w:val="3958538C"/>
    <w:rsid w:val="39693679"/>
    <w:rsid w:val="39766BE5"/>
    <w:rsid w:val="397877DC"/>
    <w:rsid w:val="399F745E"/>
    <w:rsid w:val="39F335CE"/>
    <w:rsid w:val="39FD0362"/>
    <w:rsid w:val="3A116D63"/>
    <w:rsid w:val="3A270170"/>
    <w:rsid w:val="3A5D117B"/>
    <w:rsid w:val="3ADE06F1"/>
    <w:rsid w:val="3B9A3993"/>
    <w:rsid w:val="3BB9266A"/>
    <w:rsid w:val="3BBD54D9"/>
    <w:rsid w:val="3BCA00B2"/>
    <w:rsid w:val="3C0B6C5B"/>
    <w:rsid w:val="3C1104C4"/>
    <w:rsid w:val="3C575DCE"/>
    <w:rsid w:val="3C5E0136"/>
    <w:rsid w:val="3C722330"/>
    <w:rsid w:val="3CB7328F"/>
    <w:rsid w:val="3CCA7661"/>
    <w:rsid w:val="3CD72A6B"/>
    <w:rsid w:val="3D0D46DF"/>
    <w:rsid w:val="3D3D45FE"/>
    <w:rsid w:val="3D7F6E60"/>
    <w:rsid w:val="3D8C4DF5"/>
    <w:rsid w:val="3DAE7BC6"/>
    <w:rsid w:val="3E025D44"/>
    <w:rsid w:val="3E24461E"/>
    <w:rsid w:val="3E533DB7"/>
    <w:rsid w:val="3E637389"/>
    <w:rsid w:val="3E745EDC"/>
    <w:rsid w:val="3EE743E1"/>
    <w:rsid w:val="3EFD0EAF"/>
    <w:rsid w:val="3F1202E4"/>
    <w:rsid w:val="3F634234"/>
    <w:rsid w:val="3F696545"/>
    <w:rsid w:val="3F7946B9"/>
    <w:rsid w:val="3F8E59BB"/>
    <w:rsid w:val="3F937C15"/>
    <w:rsid w:val="3FB94EE6"/>
    <w:rsid w:val="3FC91A0B"/>
    <w:rsid w:val="3FEB51AC"/>
    <w:rsid w:val="405F34A4"/>
    <w:rsid w:val="4075306C"/>
    <w:rsid w:val="40AD0658"/>
    <w:rsid w:val="40AD6287"/>
    <w:rsid w:val="40EA6B18"/>
    <w:rsid w:val="40F17FF9"/>
    <w:rsid w:val="40F87B96"/>
    <w:rsid w:val="412C6752"/>
    <w:rsid w:val="412F5149"/>
    <w:rsid w:val="413D6469"/>
    <w:rsid w:val="41404C27"/>
    <w:rsid w:val="414303D2"/>
    <w:rsid w:val="41596C87"/>
    <w:rsid w:val="41931657"/>
    <w:rsid w:val="41AA163D"/>
    <w:rsid w:val="41B4690A"/>
    <w:rsid w:val="41BE1757"/>
    <w:rsid w:val="41C07F72"/>
    <w:rsid w:val="41DF581D"/>
    <w:rsid w:val="41E2438C"/>
    <w:rsid w:val="420A5691"/>
    <w:rsid w:val="42521ACC"/>
    <w:rsid w:val="42DE16E9"/>
    <w:rsid w:val="43056584"/>
    <w:rsid w:val="430868FD"/>
    <w:rsid w:val="431C567C"/>
    <w:rsid w:val="43304291"/>
    <w:rsid w:val="43305F7D"/>
    <w:rsid w:val="438A7056"/>
    <w:rsid w:val="43BF354B"/>
    <w:rsid w:val="43EE526A"/>
    <w:rsid w:val="440B5B06"/>
    <w:rsid w:val="4412057F"/>
    <w:rsid w:val="442045BF"/>
    <w:rsid w:val="443843BD"/>
    <w:rsid w:val="44562BF7"/>
    <w:rsid w:val="445A2900"/>
    <w:rsid w:val="445F5EC9"/>
    <w:rsid w:val="45246A6A"/>
    <w:rsid w:val="45332609"/>
    <w:rsid w:val="45433394"/>
    <w:rsid w:val="4576412F"/>
    <w:rsid w:val="459403CA"/>
    <w:rsid w:val="45BE2A1A"/>
    <w:rsid w:val="45EC202F"/>
    <w:rsid w:val="45EE473E"/>
    <w:rsid w:val="46461697"/>
    <w:rsid w:val="46A75CE8"/>
    <w:rsid w:val="46B3206A"/>
    <w:rsid w:val="46BD11CC"/>
    <w:rsid w:val="46C84974"/>
    <w:rsid w:val="46DC367B"/>
    <w:rsid w:val="47270E54"/>
    <w:rsid w:val="47475291"/>
    <w:rsid w:val="4751434B"/>
    <w:rsid w:val="47C02A7A"/>
    <w:rsid w:val="48164D90"/>
    <w:rsid w:val="48360B15"/>
    <w:rsid w:val="483A0C1F"/>
    <w:rsid w:val="48527493"/>
    <w:rsid w:val="487570F2"/>
    <w:rsid w:val="4876731A"/>
    <w:rsid w:val="487839A9"/>
    <w:rsid w:val="48934639"/>
    <w:rsid w:val="489C2288"/>
    <w:rsid w:val="48A23302"/>
    <w:rsid w:val="48A73C3A"/>
    <w:rsid w:val="4960336B"/>
    <w:rsid w:val="49634F7B"/>
    <w:rsid w:val="49690EEF"/>
    <w:rsid w:val="496E5446"/>
    <w:rsid w:val="49C83E68"/>
    <w:rsid w:val="49C94CF6"/>
    <w:rsid w:val="49D61FF8"/>
    <w:rsid w:val="49E73693"/>
    <w:rsid w:val="49F57849"/>
    <w:rsid w:val="4A0212C6"/>
    <w:rsid w:val="4A021716"/>
    <w:rsid w:val="4A0B0F07"/>
    <w:rsid w:val="4A2F399F"/>
    <w:rsid w:val="4AA572BE"/>
    <w:rsid w:val="4B136FC0"/>
    <w:rsid w:val="4B4663C5"/>
    <w:rsid w:val="4B5808B6"/>
    <w:rsid w:val="4B6B4AB5"/>
    <w:rsid w:val="4BFE1DC3"/>
    <w:rsid w:val="4C312198"/>
    <w:rsid w:val="4D265A75"/>
    <w:rsid w:val="4D363401"/>
    <w:rsid w:val="4D442A75"/>
    <w:rsid w:val="4D7B5FE1"/>
    <w:rsid w:val="4D8D75CA"/>
    <w:rsid w:val="4DA51A29"/>
    <w:rsid w:val="4DF13545"/>
    <w:rsid w:val="4E2D399F"/>
    <w:rsid w:val="4E5263F6"/>
    <w:rsid w:val="4E823C97"/>
    <w:rsid w:val="4ED51CD9"/>
    <w:rsid w:val="4EE007EF"/>
    <w:rsid w:val="4F2B3473"/>
    <w:rsid w:val="4F433F9D"/>
    <w:rsid w:val="4F917EAC"/>
    <w:rsid w:val="4FB875C8"/>
    <w:rsid w:val="4FEE6DB8"/>
    <w:rsid w:val="4FF0236A"/>
    <w:rsid w:val="5003209D"/>
    <w:rsid w:val="506318B9"/>
    <w:rsid w:val="50FA4744"/>
    <w:rsid w:val="511D420E"/>
    <w:rsid w:val="515525DF"/>
    <w:rsid w:val="515E0A69"/>
    <w:rsid w:val="517F39A6"/>
    <w:rsid w:val="51C17D9E"/>
    <w:rsid w:val="520420FD"/>
    <w:rsid w:val="520449B3"/>
    <w:rsid w:val="52295317"/>
    <w:rsid w:val="523A79B4"/>
    <w:rsid w:val="524E2E38"/>
    <w:rsid w:val="52860D64"/>
    <w:rsid w:val="52993D45"/>
    <w:rsid w:val="52C10909"/>
    <w:rsid w:val="52C675ED"/>
    <w:rsid w:val="52CD0741"/>
    <w:rsid w:val="52DE46FC"/>
    <w:rsid w:val="5312396D"/>
    <w:rsid w:val="534568DB"/>
    <w:rsid w:val="53471293"/>
    <w:rsid w:val="5394300C"/>
    <w:rsid w:val="53A92F5C"/>
    <w:rsid w:val="53B139D4"/>
    <w:rsid w:val="53E14583"/>
    <w:rsid w:val="54225A69"/>
    <w:rsid w:val="54513548"/>
    <w:rsid w:val="549D115D"/>
    <w:rsid w:val="549F1A94"/>
    <w:rsid w:val="55801A9A"/>
    <w:rsid w:val="55F3226C"/>
    <w:rsid w:val="56150435"/>
    <w:rsid w:val="56E322E1"/>
    <w:rsid w:val="56FA762A"/>
    <w:rsid w:val="57045E05"/>
    <w:rsid w:val="5791601A"/>
    <w:rsid w:val="579F469A"/>
    <w:rsid w:val="57CC0FC7"/>
    <w:rsid w:val="57FD5624"/>
    <w:rsid w:val="58494CD5"/>
    <w:rsid w:val="58FA1B64"/>
    <w:rsid w:val="58FB7C62"/>
    <w:rsid w:val="5900361E"/>
    <w:rsid w:val="590239F2"/>
    <w:rsid w:val="59A246D5"/>
    <w:rsid w:val="59B47F65"/>
    <w:rsid w:val="59BD6A66"/>
    <w:rsid w:val="59CC3500"/>
    <w:rsid w:val="59D329A9"/>
    <w:rsid w:val="59D51E0D"/>
    <w:rsid w:val="59E3448E"/>
    <w:rsid w:val="5A2570B4"/>
    <w:rsid w:val="5B716904"/>
    <w:rsid w:val="5BB07457"/>
    <w:rsid w:val="5BB71F8E"/>
    <w:rsid w:val="5BE203F3"/>
    <w:rsid w:val="5BE2378D"/>
    <w:rsid w:val="5BE90A46"/>
    <w:rsid w:val="5BF6163A"/>
    <w:rsid w:val="5C34538D"/>
    <w:rsid w:val="5C8D6EBB"/>
    <w:rsid w:val="5C98591B"/>
    <w:rsid w:val="5CBC071D"/>
    <w:rsid w:val="5CDF3C0D"/>
    <w:rsid w:val="5CE86703"/>
    <w:rsid w:val="5D086F45"/>
    <w:rsid w:val="5D1C4E39"/>
    <w:rsid w:val="5D28532A"/>
    <w:rsid w:val="5D494E68"/>
    <w:rsid w:val="5DA64068"/>
    <w:rsid w:val="5DCE3E5A"/>
    <w:rsid w:val="5DE364EB"/>
    <w:rsid w:val="5E141F47"/>
    <w:rsid w:val="5E7C767B"/>
    <w:rsid w:val="5E843D62"/>
    <w:rsid w:val="5ECA1FD8"/>
    <w:rsid w:val="5F6D6A29"/>
    <w:rsid w:val="5FA25CD8"/>
    <w:rsid w:val="60536017"/>
    <w:rsid w:val="60A76964"/>
    <w:rsid w:val="60B92304"/>
    <w:rsid w:val="60C27AD9"/>
    <w:rsid w:val="60C527CC"/>
    <w:rsid w:val="614627F7"/>
    <w:rsid w:val="617E17A0"/>
    <w:rsid w:val="61B52BB6"/>
    <w:rsid w:val="61B96A60"/>
    <w:rsid w:val="61D415F5"/>
    <w:rsid w:val="61F81656"/>
    <w:rsid w:val="62662018"/>
    <w:rsid w:val="62CE653B"/>
    <w:rsid w:val="62FC74AA"/>
    <w:rsid w:val="6302676C"/>
    <w:rsid w:val="637233CB"/>
    <w:rsid w:val="63B57B8D"/>
    <w:rsid w:val="63E34249"/>
    <w:rsid w:val="63E96033"/>
    <w:rsid w:val="63F43D7F"/>
    <w:rsid w:val="640F7986"/>
    <w:rsid w:val="64322AF9"/>
    <w:rsid w:val="64686F03"/>
    <w:rsid w:val="6472739A"/>
    <w:rsid w:val="64CE0B72"/>
    <w:rsid w:val="64F25773"/>
    <w:rsid w:val="64FA4DF8"/>
    <w:rsid w:val="652C7705"/>
    <w:rsid w:val="65692177"/>
    <w:rsid w:val="657A02B4"/>
    <w:rsid w:val="658A426F"/>
    <w:rsid w:val="662C39C8"/>
    <w:rsid w:val="664858A7"/>
    <w:rsid w:val="66576847"/>
    <w:rsid w:val="6679056C"/>
    <w:rsid w:val="66996E60"/>
    <w:rsid w:val="67054B34"/>
    <w:rsid w:val="67225A66"/>
    <w:rsid w:val="67894B8D"/>
    <w:rsid w:val="67980EC5"/>
    <w:rsid w:val="67F14D2D"/>
    <w:rsid w:val="682360DE"/>
    <w:rsid w:val="6828049B"/>
    <w:rsid w:val="684150B9"/>
    <w:rsid w:val="68706417"/>
    <w:rsid w:val="68913A95"/>
    <w:rsid w:val="68AE0CE2"/>
    <w:rsid w:val="68B059AC"/>
    <w:rsid w:val="68C56920"/>
    <w:rsid w:val="68F148CF"/>
    <w:rsid w:val="69190F31"/>
    <w:rsid w:val="69385DFB"/>
    <w:rsid w:val="698249EF"/>
    <w:rsid w:val="698B05BD"/>
    <w:rsid w:val="69D307EF"/>
    <w:rsid w:val="6A050B73"/>
    <w:rsid w:val="6A491AB4"/>
    <w:rsid w:val="6B0A3E88"/>
    <w:rsid w:val="6B594A66"/>
    <w:rsid w:val="6BD3071E"/>
    <w:rsid w:val="6C112375"/>
    <w:rsid w:val="6C565081"/>
    <w:rsid w:val="6CC91B21"/>
    <w:rsid w:val="6CF177E6"/>
    <w:rsid w:val="6D056FFD"/>
    <w:rsid w:val="6D4348C6"/>
    <w:rsid w:val="6D567859"/>
    <w:rsid w:val="6D5F4EED"/>
    <w:rsid w:val="6D636393"/>
    <w:rsid w:val="6D676CD9"/>
    <w:rsid w:val="6D72167F"/>
    <w:rsid w:val="6D7952F5"/>
    <w:rsid w:val="6D9003EF"/>
    <w:rsid w:val="6D911E54"/>
    <w:rsid w:val="6DE5110F"/>
    <w:rsid w:val="6E350D64"/>
    <w:rsid w:val="6E581F01"/>
    <w:rsid w:val="6E795030"/>
    <w:rsid w:val="6EC8234F"/>
    <w:rsid w:val="6EEB5D7F"/>
    <w:rsid w:val="6EFF08EA"/>
    <w:rsid w:val="6F2E7E78"/>
    <w:rsid w:val="6FAC666A"/>
    <w:rsid w:val="6FDC7433"/>
    <w:rsid w:val="6FE0340A"/>
    <w:rsid w:val="708300D2"/>
    <w:rsid w:val="70E909E4"/>
    <w:rsid w:val="70F07E7A"/>
    <w:rsid w:val="71211F2C"/>
    <w:rsid w:val="71446A8C"/>
    <w:rsid w:val="71514F61"/>
    <w:rsid w:val="71C72AD3"/>
    <w:rsid w:val="72064439"/>
    <w:rsid w:val="720A6576"/>
    <w:rsid w:val="72281098"/>
    <w:rsid w:val="72281A73"/>
    <w:rsid w:val="724124B2"/>
    <w:rsid w:val="724632C5"/>
    <w:rsid w:val="72620A4E"/>
    <w:rsid w:val="727F33AE"/>
    <w:rsid w:val="72C61B6B"/>
    <w:rsid w:val="73081227"/>
    <w:rsid w:val="731162EE"/>
    <w:rsid w:val="731A1328"/>
    <w:rsid w:val="73591BAE"/>
    <w:rsid w:val="742E61BB"/>
    <w:rsid w:val="749A7CAD"/>
    <w:rsid w:val="74FE2171"/>
    <w:rsid w:val="75207376"/>
    <w:rsid w:val="75215245"/>
    <w:rsid w:val="75881403"/>
    <w:rsid w:val="75D7705D"/>
    <w:rsid w:val="760A2638"/>
    <w:rsid w:val="76197675"/>
    <w:rsid w:val="761F3AF0"/>
    <w:rsid w:val="769A5E4D"/>
    <w:rsid w:val="76F36521"/>
    <w:rsid w:val="77133079"/>
    <w:rsid w:val="77471FC0"/>
    <w:rsid w:val="77693EE1"/>
    <w:rsid w:val="77C460AF"/>
    <w:rsid w:val="77F64585"/>
    <w:rsid w:val="78464AAD"/>
    <w:rsid w:val="78666F61"/>
    <w:rsid w:val="78827567"/>
    <w:rsid w:val="78A70F68"/>
    <w:rsid w:val="79157851"/>
    <w:rsid w:val="792A5740"/>
    <w:rsid w:val="794D3A79"/>
    <w:rsid w:val="799A287B"/>
    <w:rsid w:val="79AB2EE2"/>
    <w:rsid w:val="79E007A3"/>
    <w:rsid w:val="7A1F29C9"/>
    <w:rsid w:val="7A541A08"/>
    <w:rsid w:val="7A6B14C5"/>
    <w:rsid w:val="7A85177D"/>
    <w:rsid w:val="7A942FB8"/>
    <w:rsid w:val="7B2808C6"/>
    <w:rsid w:val="7B95779E"/>
    <w:rsid w:val="7B9658EF"/>
    <w:rsid w:val="7C2F2A32"/>
    <w:rsid w:val="7C6A2FE0"/>
    <w:rsid w:val="7C874F25"/>
    <w:rsid w:val="7C8A55FC"/>
    <w:rsid w:val="7CC47472"/>
    <w:rsid w:val="7D007C96"/>
    <w:rsid w:val="7D2F3C22"/>
    <w:rsid w:val="7D302340"/>
    <w:rsid w:val="7DFD162B"/>
    <w:rsid w:val="7E0B01EB"/>
    <w:rsid w:val="7E2D63B4"/>
    <w:rsid w:val="7E3C2153"/>
    <w:rsid w:val="7E470AF8"/>
    <w:rsid w:val="7E9D5600"/>
    <w:rsid w:val="7EB50157"/>
    <w:rsid w:val="7EEC45E4"/>
    <w:rsid w:val="7F275383"/>
    <w:rsid w:val="7F7511B7"/>
    <w:rsid w:val="7F7641F6"/>
    <w:rsid w:val="7F887E7D"/>
    <w:rsid w:val="7FED1E7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paragraph" w:styleId="3">
    <w:name w:val="heading 6"/>
    <w:basedOn w:val="1"/>
    <w:next w:val="1"/>
    <w:link w:val="30"/>
    <w:unhideWhenUsed/>
    <w:qFormat/>
    <w:uiPriority w:val="9"/>
    <w:pPr>
      <w:keepNext/>
      <w:keepLines/>
      <w:spacing w:before="240" w:after="64" w:line="320" w:lineRule="auto"/>
      <w:outlineLvl w:val="5"/>
    </w:pPr>
    <w:rPr>
      <w:rFonts w:asciiTheme="majorHAnsi" w:hAnsiTheme="majorHAnsi" w:eastAsiaTheme="majorEastAsia" w:cstheme="majorBidi"/>
      <w:b/>
      <w:bCs/>
      <w:sz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snapToGrid w:val="0"/>
    </w:pPr>
    <w:rPr>
      <w:rFonts w:ascii="Arial" w:hAnsi="Arial"/>
    </w:rPr>
  </w:style>
  <w:style w:type="paragraph" w:styleId="7">
    <w:name w:val="Balloon Text"/>
    <w:basedOn w:val="1"/>
    <w:link w:val="31"/>
    <w:unhideWhenUsed/>
    <w:qFormat/>
    <w:uiPriority w:val="99"/>
    <w:rPr>
      <w:sz w:val="18"/>
      <w:szCs w:val="18"/>
    </w:rPr>
  </w:style>
  <w:style w:type="paragraph" w:styleId="8">
    <w:name w:val="footer"/>
    <w:basedOn w:val="1"/>
    <w:link w:val="29"/>
    <w:unhideWhenUsed/>
    <w:qFormat/>
    <w:uiPriority w:val="99"/>
    <w:pPr>
      <w:tabs>
        <w:tab w:val="center" w:pos="4153"/>
        <w:tab w:val="right" w:pos="8306"/>
      </w:tabs>
      <w:snapToGrid w:val="0"/>
      <w:jc w:val="left"/>
    </w:pPr>
    <w:rPr>
      <w:sz w:val="18"/>
      <w:szCs w:val="18"/>
    </w:rPr>
  </w:style>
  <w:style w:type="paragraph" w:styleId="9">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next w:val="1"/>
    <w:qFormat/>
    <w:uiPriority w:val="0"/>
    <w:pPr>
      <w:ind w:firstLine="420" w:firstLineChars="200"/>
    </w:pPr>
  </w:style>
  <w:style w:type="table" w:styleId="13">
    <w:name w:val="Table Grid"/>
    <w:basedOn w:val="12"/>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7">
    <w:name w:val="Emphasis"/>
    <w:basedOn w:val="14"/>
    <w:qFormat/>
    <w:uiPriority w:val="20"/>
    <w:rPr>
      <w:b/>
      <w:bCs/>
    </w:rPr>
  </w:style>
  <w:style w:type="character" w:styleId="18">
    <w:name w:val="HTML Definition"/>
    <w:basedOn w:val="14"/>
    <w:semiHidden/>
    <w:unhideWhenUsed/>
    <w:qFormat/>
    <w:uiPriority w:val="99"/>
  </w:style>
  <w:style w:type="character" w:styleId="19">
    <w:name w:val="HTML Typewriter"/>
    <w:basedOn w:val="14"/>
    <w:semiHidden/>
    <w:unhideWhenUsed/>
    <w:qFormat/>
    <w:uiPriority w:val="99"/>
    <w:rPr>
      <w:rFonts w:ascii="monospace" w:hAnsi="monospace" w:eastAsia="monospace" w:cs="monospace"/>
      <w:sz w:val="20"/>
    </w:rPr>
  </w:style>
  <w:style w:type="character" w:styleId="20">
    <w:name w:val="HTML Acronym"/>
    <w:basedOn w:val="14"/>
    <w:semiHidden/>
    <w:unhideWhenUsed/>
    <w:qFormat/>
    <w:uiPriority w:val="99"/>
    <w:rPr>
      <w:rFonts w:ascii="微软雅黑" w:hAnsi="微软雅黑" w:eastAsia="微软雅黑" w:cs="微软雅黑"/>
      <w:sz w:val="19"/>
      <w:szCs w:val="19"/>
      <w:vertAlign w:val="baseline"/>
    </w:rPr>
  </w:style>
  <w:style w:type="character" w:styleId="21">
    <w:name w:val="HTML Variable"/>
    <w:basedOn w:val="14"/>
    <w:semiHidden/>
    <w:unhideWhenUsed/>
    <w:qFormat/>
    <w:uiPriority w:val="99"/>
  </w:style>
  <w:style w:type="character" w:styleId="22">
    <w:name w:val="Hyperlink"/>
    <w:basedOn w:val="14"/>
    <w:unhideWhenUsed/>
    <w:qFormat/>
    <w:uiPriority w:val="99"/>
    <w:rPr>
      <w:color w:val="0000FF" w:themeColor="hyperlink"/>
      <w:u w:val="single"/>
      <w14:textFill>
        <w14:solidFill>
          <w14:schemeClr w14:val="hlink"/>
        </w14:solidFill>
      </w14:textFill>
    </w:rPr>
  </w:style>
  <w:style w:type="character" w:styleId="23">
    <w:name w:val="HTML Code"/>
    <w:basedOn w:val="14"/>
    <w:semiHidden/>
    <w:unhideWhenUsed/>
    <w:qFormat/>
    <w:uiPriority w:val="99"/>
    <w:rPr>
      <w:rFonts w:hint="default" w:ascii="monospace" w:hAnsi="monospace" w:eastAsia="monospace" w:cs="monospace"/>
      <w:sz w:val="20"/>
    </w:rPr>
  </w:style>
  <w:style w:type="character" w:styleId="24">
    <w:name w:val="HTML Cite"/>
    <w:basedOn w:val="14"/>
    <w:semiHidden/>
    <w:unhideWhenUsed/>
    <w:qFormat/>
    <w:uiPriority w:val="99"/>
  </w:style>
  <w:style w:type="character" w:styleId="25">
    <w:name w:val="HTML Keyboard"/>
    <w:basedOn w:val="14"/>
    <w:semiHidden/>
    <w:unhideWhenUsed/>
    <w:qFormat/>
    <w:uiPriority w:val="99"/>
    <w:rPr>
      <w:rFonts w:hint="default" w:ascii="monospace" w:hAnsi="monospace" w:eastAsia="monospace" w:cs="monospace"/>
      <w:sz w:val="20"/>
    </w:rPr>
  </w:style>
  <w:style w:type="character" w:styleId="26">
    <w:name w:val="HTML Sample"/>
    <w:basedOn w:val="14"/>
    <w:semiHidden/>
    <w:unhideWhenUsed/>
    <w:qFormat/>
    <w:uiPriority w:val="99"/>
    <w:rPr>
      <w:rFonts w:hint="default" w:ascii="monospace" w:hAnsi="monospace" w:eastAsia="monospace" w:cs="monospace"/>
    </w:rPr>
  </w:style>
  <w:style w:type="paragraph" w:customStyle="1" w:styleId="27">
    <w:name w:val="列出段落1"/>
    <w:basedOn w:val="1"/>
    <w:qFormat/>
    <w:uiPriority w:val="34"/>
    <w:pPr>
      <w:ind w:firstLine="420" w:firstLineChars="200"/>
    </w:pPr>
  </w:style>
  <w:style w:type="character" w:customStyle="1" w:styleId="28">
    <w:name w:val="页眉 Char"/>
    <w:basedOn w:val="14"/>
    <w:link w:val="9"/>
    <w:qFormat/>
    <w:uiPriority w:val="99"/>
    <w:rPr>
      <w:rFonts w:ascii="Times New Roman" w:hAnsi="Times New Roman" w:eastAsia="宋体" w:cs="Times New Roman"/>
      <w:sz w:val="18"/>
      <w:szCs w:val="18"/>
    </w:rPr>
  </w:style>
  <w:style w:type="character" w:customStyle="1" w:styleId="29">
    <w:name w:val="页脚 Char"/>
    <w:basedOn w:val="14"/>
    <w:link w:val="8"/>
    <w:qFormat/>
    <w:uiPriority w:val="99"/>
    <w:rPr>
      <w:rFonts w:ascii="Times New Roman" w:hAnsi="Times New Roman" w:eastAsia="宋体" w:cs="Times New Roman"/>
      <w:sz w:val="18"/>
      <w:szCs w:val="18"/>
    </w:rPr>
  </w:style>
  <w:style w:type="character" w:customStyle="1" w:styleId="30">
    <w:name w:val="标题 6 Char"/>
    <w:basedOn w:val="14"/>
    <w:link w:val="3"/>
    <w:qFormat/>
    <w:uiPriority w:val="9"/>
    <w:rPr>
      <w:rFonts w:asciiTheme="majorHAnsi" w:hAnsiTheme="majorHAnsi" w:eastAsiaTheme="majorEastAsia" w:cstheme="majorBidi"/>
      <w:b/>
      <w:bCs/>
      <w:sz w:val="24"/>
      <w:szCs w:val="24"/>
    </w:rPr>
  </w:style>
  <w:style w:type="character" w:customStyle="1" w:styleId="31">
    <w:name w:val="批注框文本 Char"/>
    <w:basedOn w:val="14"/>
    <w:link w:val="7"/>
    <w:semiHidden/>
    <w:qFormat/>
    <w:uiPriority w:val="99"/>
    <w:rPr>
      <w:rFonts w:ascii="Times New Roman" w:hAnsi="Times New Roman" w:eastAsia="宋体" w:cs="Times New Roman"/>
      <w:sz w:val="18"/>
      <w:szCs w:val="18"/>
    </w:rPr>
  </w:style>
  <w:style w:type="paragraph" w:customStyle="1" w:styleId="32">
    <w:name w:val="Default Paragraph Char Char Char Char"/>
    <w:basedOn w:val="1"/>
    <w:next w:val="1"/>
    <w:qFormat/>
    <w:uiPriority w:val="0"/>
    <w:pPr>
      <w:widowControl/>
      <w:spacing w:line="360" w:lineRule="auto"/>
      <w:jc w:val="left"/>
    </w:pPr>
    <w:rPr>
      <w:kern w:val="0"/>
      <w:szCs w:val="20"/>
      <w:lang w:eastAsia="en-US"/>
    </w:rPr>
  </w:style>
  <w:style w:type="paragraph" w:styleId="33">
    <w:name w:val="List Paragraph"/>
    <w:basedOn w:val="1"/>
    <w:unhideWhenUsed/>
    <w:qFormat/>
    <w:uiPriority w:val="99"/>
    <w:pPr>
      <w:ind w:firstLine="420" w:firstLineChars="200"/>
    </w:pPr>
  </w:style>
  <w:style w:type="character" w:customStyle="1" w:styleId="34">
    <w:name w:val="mini-outputtext1"/>
    <w:basedOn w:val="14"/>
    <w:qFormat/>
    <w:uiPriority w:val="0"/>
  </w:style>
  <w:style w:type="paragraph" w:customStyle="1" w:styleId="35">
    <w:name w:val="Table caption|1"/>
    <w:basedOn w:val="1"/>
    <w:qFormat/>
    <w:uiPriority w:val="0"/>
    <w:pPr>
      <w:spacing w:after="60"/>
    </w:pPr>
    <w:rPr>
      <w:rFonts w:ascii="MingLiU" w:hAnsi="MingLiU" w:eastAsia="MingLiU" w:cs="MingLiU"/>
      <w:color w:val="3F3C4A"/>
      <w:sz w:val="19"/>
      <w:szCs w:val="19"/>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b20e7d1c-d776-416d-be3c-124ac0904d65</errorID>
      <errorWord>签</errorWord>
      <group>L1_Word</group>
      <groupName>字词问题</groupName>
      <ability>L2_Typo</ability>
      <abilityName>字词错误</abilityName>
      <candidateList>
        <item>签订</item>
      </candidateList>
      <explain>〈动〉订立条约或合同并签字：两国～了贸易议定书和支付协定。</explain>
      <paraID>2A1CE416</paraID>
      <start>52</start>
      <end>53</end>
      <status>unmodified</status>
      <modifiedWord/>
      <trackRevisions>false</trackRevisions>
    </reviewItem>
    <reviewItem>
      <errorID>391ba819-4957-48dd-bcf3-17efc2cf1ff0</errorID>
      <errorWord>因不可抗拒</errorWord>
      <group>L1_Word</group>
      <groupName>字词问题</groupName>
      <ability>L2_Typo</ability>
      <abilityName>字词错误</abilityName>
      <candidateList>
        <item>因不可抗力</item>
      </candidateList>
      <explain/>
      <paraID>6F69BA45</paraID>
      <start>59</start>
      <end>64</end>
      <status>unmodified</status>
      <modifiedWord/>
      <trackRevisions>false</trackRevisions>
    </reviewItem>
  </reviewItems>
  <config/>
</contractReview>
</file>

<file path=customXml/itemProps1.xml><?xml version="1.0" encoding="utf-8"?>
<ds:datastoreItem xmlns:ds="http://schemas.openxmlformats.org/officeDocument/2006/customXml" ds:itemID="{704d9e03-bd18-49c9-9c52-d84f608f9e0e}">
  <ds:schemaRefs/>
</ds:datastoreItem>
</file>

<file path=docProps/app.xml><?xml version="1.0" encoding="utf-8"?>
<Properties xmlns="http://schemas.openxmlformats.org/officeDocument/2006/extended-properties" xmlns:vt="http://schemas.openxmlformats.org/officeDocument/2006/docPropsVTypes">
  <Template>Normal</Template>
  <Company>合肥市产权交易中心</Company>
  <Pages>10</Pages>
  <Words>7239</Words>
  <Characters>7699</Characters>
  <Lines>75</Lines>
  <Paragraphs>21</Paragraphs>
  <TotalTime>3</TotalTime>
  <ScaleCrop>false</ScaleCrop>
  <LinksUpToDate>false</LinksUpToDate>
  <CharactersWithSpaces>8432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2018-12-26T05:55:00Z</dcterms:created>
  <dc:creator>陈晨</dc:creator>
  <cp:lastModifiedBy>杨柯</cp:lastModifiedBy>
  <cp:lastPrinted>2026-03-23T06:14:00Z</cp:lastPrinted>
  <dcterms:modified xsi:type="dcterms:W3CDTF">2026-09-04T02:48:50Z</dcterms:modified>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D23F33513F94495091C5615C88FCEAA7_13</vt:lpwstr>
  </property>
  <property fmtid="{D5CDD505-2E9C-101B-9397-08002B2CF9AE}" pid="4" name="KSOTemplateDocerSaveRecord">
    <vt:lpwstr>eyJoZGlkIjoiNDMwMDkyZjVhOGEyZTU2OTQ1NjZiZDZlODI5MWJkOGIiLCJ1c2VySWQiOiI1NjMwMDAwMjEifQ==</vt:lpwstr>
  </property>
</Properties>
</file>