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color w:val="000000" w:themeColor="text1"/>
          <w:kern w:val="0"/>
          <w:sz w:val="44"/>
          <w:szCs w:val="44"/>
          <w:lang w:val="en-US"/>
          <w14:textFill>
            <w14:solidFill>
              <w14:schemeClr w14:val="tx1"/>
            </w14:solidFill>
          </w14:textFill>
        </w:rPr>
      </w:pPr>
      <w:bookmarkStart w:id="0" w:name="OLE_LINK1"/>
      <w:bookmarkStart w:id="1" w:name="OLE_LINK2"/>
      <w:r>
        <w:rPr>
          <w:rFonts w:hint="eastAsia" w:cs="宋体" w:asciiTheme="majorEastAsia" w:hAnsiTheme="majorEastAsia" w:eastAsiaTheme="majorEastAsia"/>
          <w:color w:val="000000" w:themeColor="text1"/>
          <w:kern w:val="0"/>
          <w:sz w:val="44"/>
          <w:szCs w:val="44"/>
          <w:u w:val="none"/>
          <w:lang w:val="en-US" w:eastAsia="zh-CN"/>
          <w14:textFill>
            <w14:solidFill>
              <w14:schemeClr w14:val="tx1"/>
            </w14:solidFill>
          </w14:textFill>
        </w:rPr>
        <w:t>合肥新站高新技术产业开发区磨店社区沿河社居集体经济组织TDLZ-2026-19地块土地经营权流转</w:t>
      </w:r>
      <w:r>
        <w:rPr>
          <w:rFonts w:hint="eastAsia" w:cs="宋体" w:asciiTheme="majorEastAsia" w:hAnsiTheme="majorEastAsia" w:eastAsiaTheme="majorEastAsia"/>
          <w:color w:val="000000" w:themeColor="text1"/>
          <w:kern w:val="0"/>
          <w:sz w:val="44"/>
          <w:szCs w:val="44"/>
          <w:lang w:val="en-US" w:eastAsia="zh-CN"/>
          <w14:textFill>
            <w14:solidFill>
              <w14:schemeClr w14:val="tx1"/>
            </w14:solidFill>
          </w14:textFill>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合肥新站高新技术产业开发区磨店社区沿河社居集体经济组织TDLZ-2026-19地块土地经营权流转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2026AXXNJ50014</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合肥新站高新技术产业开发区磨店社区沿河社居集体经济组织</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委托方承诺本次</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行为已履行了必要的审批程序</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保证本公告的内容不存在任何重大遗漏、虚假陈述或严重误导，</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同时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1.公告期：20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23</w:t>
            </w:r>
            <w:r>
              <w:rPr>
                <w:rFonts w:hint="eastAsia" w:ascii="宋体" w:hAnsi="宋体" w:cs="宋体"/>
                <w:color w:val="000000" w:themeColor="text1"/>
                <w:kern w:val="0"/>
                <w:sz w:val="24"/>
                <w:szCs w:val="24"/>
                <w:highlight w:val="none"/>
                <w:lang w:val="en-US" w:eastAsia="zh-CN"/>
                <w14:textFill>
                  <w14:solidFill>
                    <w14:schemeClr w14:val="tx1"/>
                  </w14:solidFill>
                </w14:textFill>
              </w:rPr>
              <w:t>日9:00始至20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2.网络一次性报价期：20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日</w:t>
            </w:r>
            <w:r>
              <w:rPr>
                <w:rFonts w:hint="eastAsia" w:ascii="宋体" w:hAnsi="宋体" w:eastAsia="宋体" w:cs="宋体"/>
                <w:i w:val="0"/>
                <w:iCs w:val="0"/>
                <w:caps w:val="0"/>
                <w:color w:val="000000" w:themeColor="text1"/>
                <w:spacing w:val="0"/>
                <w:sz w:val="24"/>
                <w:szCs w:val="24"/>
                <w:highlight w:val="none"/>
                <w:shd w:val="clear" w:fill="FFFFFF"/>
                <w14:textFill>
                  <w14:solidFill>
                    <w14:schemeClr w14:val="tx1"/>
                  </w14:solidFill>
                </w14:textFill>
              </w:rPr>
              <w:t>9:00至10:30止</w:t>
            </w:r>
            <w:r>
              <w:rPr>
                <w:rFonts w:hint="eastAsia" w:ascii="宋体" w:hAnsi="宋体" w:eastAsia="宋体" w:cs="宋体"/>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网络一次性报价期截止后立即进入优先权行使期，优先权行使期截止时间至</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20</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26</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日17</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00止</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Cs w:val="21"/>
                <w:highlight w:val="none"/>
                <w14:textFill>
                  <w14:solidFill>
                    <w14:schemeClr w14:val="tx1"/>
                  </w14:solidFill>
                </w14:textFill>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面积</w:t>
            </w:r>
            <w:r>
              <w:rPr>
                <w:rFonts w:hint="eastAsia" w:ascii="宋体" w:hAnsi="宋体" w:cs="宋体"/>
                <w:color w:val="000000" w:themeColor="text1"/>
                <w:kern w:val="0"/>
                <w:sz w:val="24"/>
                <w:szCs w:val="24"/>
                <w:highlight w:val="none"/>
                <w:lang w:eastAsia="zh-CN"/>
                <w14:textFill>
                  <w14:solidFill>
                    <w14:schemeClr w14:val="tx1"/>
                  </w14:solidFill>
                </w14:textFill>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w:t>
            </w:r>
            <w:r>
              <w:rPr>
                <w:rFonts w:hint="eastAsia" w:ascii="宋体" w:hAnsi="宋体" w:cs="宋体"/>
                <w:color w:val="000000" w:themeColor="text1"/>
                <w:kern w:val="0"/>
                <w:sz w:val="24"/>
                <w:szCs w:val="24"/>
                <w:highlight w:val="none"/>
                <w:lang w:eastAsia="zh-CN"/>
                <w14:textFill>
                  <w14:solidFill>
                    <w14:schemeClr w14:val="tx1"/>
                  </w14:solidFill>
                </w14:textFill>
              </w:rPr>
              <w:t>期限（</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流转底价</w:t>
            </w:r>
          </w:p>
          <w:p w14:paraId="4A74A970">
            <w:pPr>
              <w:pStyle w:val="2"/>
              <w:ind w:left="0" w:leftChars="0" w:firstLine="0" w:firstLineChars="0"/>
              <w:jc w:val="center"/>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元/亩/年</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交易保证金</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万元</w:t>
            </w:r>
            <w:r>
              <w:rPr>
                <w:rFonts w:hint="eastAsia" w:ascii="宋体" w:hAnsi="宋体" w:cs="宋体"/>
                <w:color w:val="000000" w:themeColor="text1"/>
                <w:kern w:val="0"/>
                <w:sz w:val="24"/>
                <w:szCs w:val="24"/>
                <w:highlight w:val="none"/>
                <w:lang w:eastAsia="zh-CN"/>
                <w14:textFill>
                  <w14:solidFill>
                    <w14:schemeClr w14:val="tx1"/>
                  </w14:solidFill>
                </w14:textFill>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新站高新技术产业开发区磨店社区沿河社居集体经济组织TDLZ-2026-19地块</w:t>
            </w:r>
          </w:p>
        </w:tc>
        <w:tc>
          <w:tcPr>
            <w:tcW w:w="1778" w:type="dxa"/>
            <w:shd w:val="clear" w:color="auto" w:fill="auto"/>
            <w:vAlign w:val="center"/>
          </w:tcPr>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东：</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沿河村苏小郢组、尚小郢组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西：</w:t>
            </w:r>
            <w:r>
              <w:rPr>
                <w:rFonts w:hint="eastAsia" w:ascii="宋体" w:hAnsi="宋体" w:cs="宋体"/>
                <w:color w:val="000000" w:themeColor="text1"/>
                <w:kern w:val="0"/>
                <w:sz w:val="24"/>
                <w:szCs w:val="24"/>
                <w:highlight w:val="none"/>
                <w:lang w:val="en-US" w:eastAsia="zh-CN"/>
                <w14:textFill>
                  <w14:solidFill>
                    <w14:schemeClr w14:val="tx1"/>
                  </w14:solidFill>
                </w14:textFill>
              </w:rPr>
              <w:t>祥和路</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南：</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沿河村高北组</w:t>
            </w:r>
          </w:p>
          <w:p w14:paraId="2A51D5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北：</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沿河村刘土地庙组</w:t>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约</w:t>
            </w:r>
            <w:r>
              <w:rPr>
                <w:rFonts w:hint="eastAsia" w:ascii="宋体" w:hAnsi="宋体" w:cs="宋体"/>
                <w:color w:val="000000" w:themeColor="text1"/>
                <w:kern w:val="0"/>
                <w:sz w:val="24"/>
                <w:szCs w:val="24"/>
                <w:highlight w:val="none"/>
                <w:lang w:val="en-US" w:eastAsia="zh-CN"/>
                <w14:textFill>
                  <w14:solidFill>
                    <w14:schemeClr w14:val="tx1"/>
                  </w14:solidFill>
                </w14:textFill>
              </w:rPr>
              <w:t>211.78</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0.5</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实际移交面积与本公告中公示面积存在差异的，以委托方实际移交（测量）面积为准。</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5.本项目</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无</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u w:val="singl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1.土地规划用途</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1.流转期内，流转价款有递增，</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每5年递增10% </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每</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支付一次，先支付后使用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首年流转价款在</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合同签订后10日内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付清，以后年度流转价款应</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在每年6月30日前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履约保证金为</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首年流转价款的50%</w:t>
            </w:r>
            <w:r>
              <w:rPr>
                <w:rFonts w:hint="eastAsia" w:ascii="宋体" w:hAnsi="宋体" w:eastAsia="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履约保证金与首</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14:textFill>
                  <w14:solidFill>
                    <w14:schemeClr w14:val="tx1"/>
                  </w14:solidFill>
                </w14:textFill>
              </w:rPr>
              <w:t>流转价款一并支付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流入方向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流出方</w:t>
            </w:r>
            <w:r>
              <w:rPr>
                <w:rFonts w:hint="eastAsia" w:ascii="宋体" w:hAnsi="宋体" w:eastAsia="宋体" w:cs="宋体"/>
                <w:color w:val="000000" w:themeColor="text1"/>
                <w:kern w:val="0"/>
                <w:sz w:val="24"/>
                <w:szCs w:val="24"/>
                <w:highlight w:val="none"/>
                <w14:textFill>
                  <w14:solidFill>
                    <w14:schemeClr w14:val="tx1"/>
                  </w14:solidFill>
                </w14:textFill>
              </w:rPr>
              <w:t>交纳的履约保证金在合同终止且无流入方责任后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不计</w:t>
            </w:r>
            <w:r>
              <w:rPr>
                <w:rFonts w:hint="eastAsia" w:ascii="宋体" w:hAnsi="宋体" w:cs="宋体"/>
                <w:color w:val="000000" w:themeColor="text1"/>
                <w:kern w:val="0"/>
                <w:sz w:val="24"/>
                <w:szCs w:val="24"/>
                <w:highlight w:val="none"/>
                <w:lang w:val="en-US" w:eastAsia="zh-CN"/>
                <w14:textFill>
                  <w14:solidFill>
                    <w14:schemeClr w14:val="tx1"/>
                  </w14:solidFill>
                </w14:textFill>
              </w:rPr>
              <w:t>利</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息</w:t>
            </w:r>
            <w:r>
              <w:rPr>
                <w:rFonts w:hint="eastAsia" w:ascii="宋体" w:hAnsi="宋体" w:eastAsia="宋体" w:cs="宋体"/>
                <w:color w:val="000000" w:themeColor="text1"/>
                <w:kern w:val="0"/>
                <w:sz w:val="24"/>
                <w:szCs w:val="24"/>
                <w:highlight w:val="none"/>
                <w14:textFill>
                  <w14:solidFill>
                    <w14:schemeClr w14:val="tx1"/>
                  </w14:solidFill>
                </w14:textFill>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bookmarkStart w:id="2" w:name="OLE_LINK3"/>
            <w:r>
              <w:rPr>
                <w:rFonts w:hint="eastAsia" w:ascii="宋体" w:hAnsi="宋体" w:eastAsia="宋体" w:cs="宋体"/>
                <w:i w:val="0"/>
                <w:iCs w:val="0"/>
                <w:caps w:val="0"/>
                <w:color w:val="000000" w:themeColor="text1"/>
                <w:spacing w:val="0"/>
                <w:kern w:val="0"/>
                <w:sz w:val="24"/>
                <w:szCs w:val="24"/>
                <w:highlight w:val="none"/>
                <w:u w:val="none"/>
                <w:shd w:val="clear" w:fill="FFFFFF"/>
                <w:lang w:val="en-US" w:eastAsia="zh-CN" w:bidi="ar"/>
                <w14:textFill>
                  <w14:solidFill>
                    <w14:schemeClr w14:val="tx1"/>
                  </w14:solidFill>
                </w14:textFill>
              </w:rPr>
              <w:t>1</w:t>
            </w:r>
            <w:bookmarkEnd w:id="2"/>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2.本项目不接受联合体</w:t>
            </w:r>
            <w:r>
              <w:rPr>
                <w:rFonts w:hint="eastAsia" w:ascii="宋体" w:hAnsi="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自然人、个体工商户</w:t>
            </w: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（一）意向方应在本公告期截止前现场踏勘流转标的，</w:t>
            </w:r>
            <w:r>
              <w:rPr>
                <w:rFonts w:hint="eastAsia" w:ascii="宋体" w:hAnsi="宋体" w:cs="宋体"/>
                <w:color w:val="000000" w:themeColor="text1"/>
                <w:kern w:val="0"/>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kern w:val="0"/>
                <w:sz w:val="24"/>
                <w:szCs w:val="24"/>
                <w:highlight w:val="none"/>
                <w14:textFill>
                  <w14:solidFill>
                    <w14:schemeClr w14:val="tx1"/>
                  </w14:solidFill>
                </w14:textFill>
              </w:rPr>
              <w:t>就流转标的相关情况主动向委托方咨询，自行了解标的可能涉及的相关法律法规及政策规定；</w:t>
            </w:r>
            <w:r>
              <w:rPr>
                <w:rFonts w:hint="eastAsia" w:ascii="宋体" w:hAnsi="宋体" w:eastAsia="宋体" w:cs="宋体"/>
                <w:b/>
                <w:bCs/>
                <w:color w:val="000000" w:themeColor="text1"/>
                <w:kern w:val="0"/>
                <w:sz w:val="24"/>
                <w:szCs w:val="24"/>
                <w:highlight w:val="none"/>
                <w14:textFill>
                  <w14:solidFill>
                    <w14:schemeClr w14:val="tx1"/>
                  </w14:solidFill>
                </w14:textFill>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（三）流转期内，流转标的须由流入方本人经营</w:t>
            </w:r>
            <w:r>
              <w:rPr>
                <w:rFonts w:hint="eastAsia" w:ascii="宋体" w:hAnsi="宋体" w:cs="宋体"/>
                <w:color w:val="000000" w:themeColor="text1"/>
                <w:kern w:val="0"/>
                <w:sz w:val="24"/>
                <w:szCs w:val="24"/>
                <w:highlight w:val="none"/>
                <w:lang w:eastAsia="zh-CN"/>
                <w14:textFill>
                  <w14:solidFill>
                    <w14:schemeClr w14:val="tx1"/>
                  </w14:solidFill>
                </w14:textFill>
              </w:rPr>
              <w:t>。未经委托方书面同意，不得与他人合作经营，</w:t>
            </w:r>
            <w:r>
              <w:rPr>
                <w:rFonts w:hint="eastAsia" w:ascii="宋体" w:hAnsi="宋体" w:eastAsia="宋体" w:cs="宋体"/>
                <w:color w:val="000000" w:themeColor="text1"/>
                <w:kern w:val="0"/>
                <w:sz w:val="24"/>
                <w:szCs w:val="24"/>
                <w:highlight w:val="none"/>
                <w14:textFill>
                  <w14:solidFill>
                    <w14:schemeClr w14:val="tx1"/>
                  </w14:solidFill>
                </w14:textFill>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（五）《土地流转合同》期满或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时，流入方投入的土地平整部分及地上设施等不可拆除部分无偿归委托方所有和使用，在合同期满或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前由流入方将地上作物自行处置完毕，并将流转土地</w:t>
            </w:r>
            <w:r>
              <w:rPr>
                <w:rFonts w:hint="eastAsia" w:ascii="宋体" w:hAnsi="宋体" w:cs="宋体"/>
                <w:color w:val="000000" w:themeColor="text1"/>
                <w:kern w:val="0"/>
                <w:sz w:val="24"/>
                <w:szCs w:val="24"/>
                <w:highlight w:val="none"/>
                <w:lang w:eastAsia="zh-CN"/>
                <w14:textFill>
                  <w14:solidFill>
                    <w14:schemeClr w14:val="tx1"/>
                  </w14:solidFill>
                </w14:textFill>
              </w:rPr>
              <w:t>平整</w:t>
            </w:r>
            <w:r>
              <w:rPr>
                <w:rFonts w:hint="eastAsia" w:ascii="宋体" w:hAnsi="宋体" w:eastAsia="宋体" w:cs="宋体"/>
                <w:color w:val="000000" w:themeColor="text1"/>
                <w:kern w:val="0"/>
                <w:sz w:val="24"/>
                <w:szCs w:val="24"/>
                <w:highlight w:val="none"/>
                <w14:textFill>
                  <w14:solidFill>
                    <w14:schemeClr w14:val="tx1"/>
                  </w14:solidFill>
                </w14:textFill>
              </w:rPr>
              <w:t>后在合同期满或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后</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kern w:val="0"/>
                <w:sz w:val="24"/>
                <w:szCs w:val="24"/>
                <w:highlight w:val="none"/>
                <w14:textFill>
                  <w14:solidFill>
                    <w14:schemeClr w14:val="tx1"/>
                  </w14:solidFill>
                </w14:textFill>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（六）</w:t>
            </w:r>
            <w:r>
              <w:rPr>
                <w:rFonts w:hint="eastAsia" w:ascii="宋体" w:hAnsi="宋体" w:cs="宋体"/>
                <w:color w:val="000000" w:themeColor="text1"/>
                <w:kern w:val="0"/>
                <w:sz w:val="24"/>
                <w:szCs w:val="24"/>
                <w:highlight w:val="none"/>
                <w:lang w:eastAsia="zh-CN"/>
                <w14:textFill>
                  <w14:solidFill>
                    <w14:schemeClr w14:val="tx1"/>
                  </w14:solidFill>
                </w14:textFill>
              </w:rPr>
              <w:t>交易双方</w:t>
            </w:r>
            <w:r>
              <w:rPr>
                <w:rFonts w:hint="eastAsia" w:ascii="宋体" w:hAnsi="宋体" w:eastAsia="宋体" w:cs="宋体"/>
                <w:color w:val="000000" w:themeColor="text1"/>
                <w:kern w:val="0"/>
                <w:sz w:val="24"/>
                <w:szCs w:val="24"/>
                <w:highlight w:val="none"/>
                <w14:textFill>
                  <w14:solidFill>
                    <w14:schemeClr w14:val="tx1"/>
                  </w14:solidFill>
                </w14:textFill>
              </w:rPr>
              <w:t>自</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成交</w:t>
            </w:r>
            <w:r>
              <w:rPr>
                <w:rFonts w:hint="eastAsia" w:ascii="宋体" w:hAnsi="宋体" w:cs="宋体"/>
                <w:color w:val="000000" w:themeColor="text1"/>
                <w:kern w:val="0"/>
                <w:sz w:val="24"/>
                <w:szCs w:val="24"/>
                <w:highlight w:val="none"/>
                <w:lang w:eastAsia="zh-CN"/>
                <w14:textFill>
                  <w14:solidFill>
                    <w14:schemeClr w14:val="tx1"/>
                  </w14:solidFill>
                </w14:textFill>
              </w:rPr>
              <w:t>确认书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》发出</w:t>
            </w:r>
            <w:r>
              <w:rPr>
                <w:rFonts w:hint="eastAsia" w:ascii="宋体" w:hAnsi="宋体" w:eastAsia="宋体" w:cs="宋体"/>
                <w:color w:val="000000" w:themeColor="text1"/>
                <w:kern w:val="0"/>
                <w:sz w:val="24"/>
                <w:szCs w:val="24"/>
                <w:highlight w:val="none"/>
                <w14:textFill>
                  <w14:solidFill>
                    <w14:schemeClr w14:val="tx1"/>
                  </w14:solidFill>
                </w14:textFill>
              </w:rPr>
              <w:t>起</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5个工作日</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内签订流转合同</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七</w:t>
            </w:r>
            <w:r>
              <w:rPr>
                <w:rFonts w:hint="eastAsia" w:ascii="宋体" w:hAnsi="宋体" w:eastAsia="宋体" w:cs="宋体"/>
                <w:color w:val="000000" w:themeColor="text1"/>
                <w:kern w:val="0"/>
                <w:sz w:val="24"/>
                <w:szCs w:val="24"/>
                <w:highlight w:val="none"/>
                <w14:textFill>
                  <w14:solidFill>
                    <w14:schemeClr w14:val="tx1"/>
                  </w14:solidFill>
                </w14:textFill>
              </w:rPr>
              <w:t>）其他未尽事宜详见</w:t>
            </w:r>
            <w:r>
              <w:rPr>
                <w:rFonts w:hint="eastAsia" w:ascii="宋体" w:hAnsi="宋体" w:cs="宋体"/>
                <w:color w:val="000000" w:themeColor="text1"/>
                <w:kern w:val="0"/>
                <w:sz w:val="24"/>
                <w:szCs w:val="24"/>
                <w:highlight w:val="none"/>
                <w:lang w:eastAsia="zh-CN"/>
                <w14:textFill>
                  <w14:solidFill>
                    <w14:schemeClr w14:val="tx1"/>
                  </w14:solidFill>
                </w14:textFill>
              </w:rPr>
              <w:t>附件</w:t>
            </w:r>
            <w:r>
              <w:rPr>
                <w:rFonts w:hint="eastAsia" w:ascii="宋体" w:hAnsi="宋体" w:eastAsia="宋体" w:cs="宋体"/>
                <w:color w:val="000000" w:themeColor="text1"/>
                <w:kern w:val="0"/>
                <w:sz w:val="24"/>
                <w:szCs w:val="24"/>
                <w:highlight w:val="none"/>
                <w14:textFill>
                  <w14:solidFill>
                    <w14:schemeClr w14:val="tx1"/>
                  </w14:solidFill>
                </w14:textFill>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本项目采取网络一次性报价，最高报价者得的方式确定</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流入方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，最终成交结果以结果公告为准。</w:t>
            </w:r>
            <w:r>
              <w:rPr>
                <w:rFonts w:hint="eastAsia" w:ascii="宋体" w:hAnsi="宋体" w:eastAsia="宋体" w:cs="宋体"/>
                <w:b w:val="0"/>
                <w:bCs/>
                <w:color w:val="000000" w:themeColor="text1"/>
                <w:sz w:val="24"/>
                <w:szCs w:val="24"/>
                <w:highlight w:val="none"/>
                <w:shd w:val="clear" w:color="auto" w:fill="auto"/>
                <w14:textFill>
                  <w14:solidFill>
                    <w14:schemeClr w14:val="tx1"/>
                  </w14:solidFill>
                </w14:textFill>
              </w:rPr>
              <w:t>注：最高报价是指不低于公告底价的最高报价，</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由于系统故障或竞价系统信息与公告信息不符或委托方要求中止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项目造成竞价中止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主体库登记</w:t>
            </w:r>
          </w:p>
        </w:tc>
        <w:tc>
          <w:tcPr>
            <w:tcW w:w="8477" w:type="dxa"/>
            <w:gridSpan w:val="6"/>
            <w:shd w:val="clear" w:color="auto" w:fill="auto"/>
            <w:vAlign w:val="center"/>
          </w:tcPr>
          <w:p w14:paraId="7BA93F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须完成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主体库登记</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注册</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方可参与本项目登记。具体方式如下：</w:t>
            </w:r>
          </w:p>
          <w:p w14:paraId="701991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企事业法人、其他组织</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的，须凭借第三方电子认证服务提供者签发的电子签名认证证书（以下简称：CA）直接登录安徽公共资源交易</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集团</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电子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系统（网址：http://hy.ahggzyjy.com/onlineBidder/default/login_tbr）。</w:t>
            </w:r>
          </w:p>
          <w:p w14:paraId="13EE2F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为自然人的，点击安徽</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公共资源交易电子服务系统（网址：https://ggzy.hefei.gov.cn/tspbidder/）下方的“安徽政务服务网统一认证中心登录”。</w:t>
            </w:r>
          </w:p>
          <w:p w14:paraId="077395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具体流程参见</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公告附件</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农村产权交易操作手册</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项目登记</w:t>
            </w:r>
          </w:p>
        </w:tc>
        <w:tc>
          <w:tcPr>
            <w:tcW w:w="8477" w:type="dxa"/>
            <w:gridSpan w:val="6"/>
            <w:shd w:val="clear" w:color="auto" w:fill="auto"/>
            <w:vAlign w:val="center"/>
          </w:tcPr>
          <w:p w14:paraId="596F725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完成主体库登记的意向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，直接登录安徽</w:t>
            </w:r>
            <w:r>
              <w:rPr>
                <w:rFonts w:hint="eastAsia" w:ascii="宋体" w:hAnsi="宋体" w:eastAsia="宋体" w:cs="宋体"/>
                <w:color w:val="000000" w:themeColor="text1"/>
                <w:sz w:val="24"/>
                <w:szCs w:val="24"/>
                <w:highlight w:val="none"/>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14:textFill>
                  <w14:solidFill>
                    <w14:schemeClr w14:val="tx1"/>
                  </w14:solidFill>
                </w14:textFill>
              </w:rPr>
              <w:t>公共资源交易电子服务系统，进入后选择点击</w:t>
            </w:r>
            <w:r>
              <w:rPr>
                <w:rFonts w:hint="eastAsia" w:ascii="宋体" w:hAnsi="宋体" w:eastAsia="宋体" w:cs="宋体"/>
                <w:b/>
                <w:bCs/>
                <w:color w:val="000000" w:themeColor="text1"/>
                <w:sz w:val="24"/>
                <w:szCs w:val="24"/>
                <w:highlight w:val="none"/>
                <w14:textFill>
                  <w14:solidFill>
                    <w14:schemeClr w14:val="tx1"/>
                  </w14:solidFill>
                </w14:textFill>
              </w:rPr>
              <w:t>“安徽公共资源交易集团数智交易系统</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；页面跳转至安徽公共资源交易集团电子交易系统后，点击左上角的“</w:t>
            </w:r>
            <w:r>
              <w:rPr>
                <w:rFonts w:hint="eastAsia" w:ascii="宋体" w:hAnsi="宋体" w:eastAsia="宋体" w:cs="宋体"/>
                <w:b/>
                <w:bCs/>
                <w:color w:val="000000" w:themeColor="text1"/>
                <w:sz w:val="24"/>
                <w:szCs w:val="24"/>
                <w:highlight w:val="none"/>
                <w:lang w:eastAsia="zh-CN"/>
                <w14:textFill>
                  <w14:solidFill>
                    <w14:schemeClr w14:val="tx1"/>
                  </w14:solidFill>
                </w14:textFill>
              </w:rPr>
              <w:t>农村产权</w:t>
            </w:r>
            <w:r>
              <w:rPr>
                <w:rFonts w:hint="eastAsia" w:ascii="宋体" w:hAnsi="宋体" w:eastAsia="宋体" w:cs="宋体"/>
                <w:color w:val="000000" w:themeColor="text1"/>
                <w:sz w:val="24"/>
                <w:szCs w:val="24"/>
                <w:highlight w:val="none"/>
                <w14:textFill>
                  <w14:solidFill>
                    <w14:schemeClr w14:val="tx1"/>
                  </w14:solidFill>
                </w14:textFill>
              </w:rPr>
              <w:t>”栏目，在列表中选择有意向的标的点击“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进入项目</w:t>
            </w:r>
            <w:r>
              <w:rPr>
                <w:rFonts w:hint="eastAsia" w:ascii="宋体" w:hAnsi="宋体" w:eastAsia="宋体" w:cs="宋体"/>
                <w:color w:val="000000" w:themeColor="text1"/>
                <w:sz w:val="24"/>
                <w:szCs w:val="24"/>
                <w:highlight w:val="none"/>
                <w14:textFill>
                  <w14:solidFill>
                    <w14:schemeClr w14:val="tx1"/>
                  </w14:solidFill>
                </w14:textFill>
              </w:rPr>
              <w:t>”，再点击“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填写竞价信息</w:t>
            </w:r>
            <w:r>
              <w:rPr>
                <w:rFonts w:hint="eastAsia" w:ascii="宋体" w:hAnsi="宋体" w:eastAsia="宋体" w:cs="宋体"/>
                <w:color w:val="000000" w:themeColor="text1"/>
                <w:sz w:val="24"/>
                <w:szCs w:val="24"/>
                <w:highlight w:val="none"/>
                <w14:textFill>
                  <w14:solidFill>
                    <w14:schemeClr w14:val="tx1"/>
                  </w14:solidFill>
                </w14:textFill>
              </w:rPr>
              <w:t>”提交登记申请，意向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可选择一个或多个</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项目分别</w:t>
            </w:r>
            <w:r>
              <w:rPr>
                <w:rFonts w:hint="eastAsia" w:ascii="宋体" w:hAnsi="宋体" w:eastAsia="宋体" w:cs="宋体"/>
                <w:color w:val="000000" w:themeColor="text1"/>
                <w:sz w:val="24"/>
                <w:szCs w:val="24"/>
                <w:highlight w:val="none"/>
                <w14:textFill>
                  <w14:solidFill>
                    <w14:schemeClr w14:val="tx1"/>
                  </w14:solidFill>
                </w14:textFill>
              </w:rPr>
              <w:t>进行登记。</w:t>
            </w:r>
          </w:p>
          <w:p w14:paraId="7ACBBF02">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登记申请时填写的</w:t>
            </w:r>
            <w:r>
              <w:rPr>
                <w:rFonts w:hint="eastAsia" w:ascii="宋体" w:hAnsi="宋体" w:eastAsia="宋体" w:cs="宋体"/>
                <w:b/>
                <w:bCs/>
                <w:color w:val="000000" w:themeColor="text1"/>
                <w:sz w:val="24"/>
                <w:szCs w:val="24"/>
                <w:highlight w:val="none"/>
                <w:lang w:eastAsia="zh-CN"/>
                <w14:textFill>
                  <w14:solidFill>
                    <w14:schemeClr w14:val="tx1"/>
                  </w14:solidFill>
                </w14:textFill>
              </w:rPr>
              <w:t>交易保证金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交</w:t>
            </w:r>
            <w:r>
              <w:rPr>
                <w:rFonts w:hint="eastAsia" w:ascii="宋体" w:hAnsi="宋体" w:eastAsia="宋体" w:cs="宋体"/>
                <w:b/>
                <w:bCs/>
                <w:color w:val="000000" w:themeColor="text1"/>
                <w:sz w:val="24"/>
                <w:szCs w:val="24"/>
                <w:highlight w:val="none"/>
                <w14:textFill>
                  <w14:solidFill>
                    <w14:schemeClr w14:val="tx1"/>
                  </w14:solidFill>
                </w14:textFill>
              </w:rPr>
              <w:t>款账户须与意向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b/>
                <w:bCs/>
                <w:color w:val="000000" w:themeColor="text1"/>
                <w:sz w:val="24"/>
                <w:szCs w:val="24"/>
                <w:highlight w:val="none"/>
                <w14:textFill>
                  <w14:solidFill>
                    <w14:schemeClr w14:val="tx1"/>
                  </w14:solidFill>
                </w14:textFill>
              </w:rPr>
              <w:t>实际</w:t>
            </w:r>
            <w:r>
              <w:rPr>
                <w:rFonts w:hint="eastAsia" w:ascii="宋体" w:hAnsi="宋体" w:eastAsia="宋体" w:cs="宋体"/>
                <w:b/>
                <w:bCs/>
                <w:color w:val="000000" w:themeColor="text1"/>
                <w:sz w:val="24"/>
                <w:szCs w:val="24"/>
                <w:highlight w:val="none"/>
                <w:lang w:eastAsia="zh-CN"/>
                <w14:textFill>
                  <w14:solidFill>
                    <w14:schemeClr w14:val="tx1"/>
                  </w14:solidFill>
                </w14:textFill>
              </w:rPr>
              <w:t>交纳交易保证金</w:t>
            </w:r>
            <w:r>
              <w:rPr>
                <w:rFonts w:hint="eastAsia" w:ascii="宋体" w:hAnsi="宋体" w:eastAsia="宋体" w:cs="宋体"/>
                <w:b/>
                <w:bCs/>
                <w:color w:val="000000" w:themeColor="text1"/>
                <w:sz w:val="24"/>
                <w:szCs w:val="24"/>
                <w:highlight w:val="none"/>
                <w14:textFill>
                  <w14:solidFill>
                    <w14:schemeClr w14:val="tx1"/>
                  </w14:solidFill>
                </w14:textFill>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登记成功后，须通过项目登记时填写的己方账号以转账的方式汇入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项目</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对应</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账号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足额的交易保证金。</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不得通过现金</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汇款</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方式</w:t>
            </w:r>
            <w:r>
              <w:rPr>
                <w:rFonts w:hint="eastAsia" w:ascii="宋体" w:hAnsi="宋体" w:eastAsia="宋体" w:cs="宋体"/>
                <w:b/>
                <w:bCs/>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账</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开户</w:t>
                  </w:r>
                  <w:r>
                    <w:rPr>
                      <w:rFonts w:hint="eastAsia" w:ascii="宋体" w:hAnsi="宋体" w:cs="宋体"/>
                      <w:b w:val="0"/>
                      <w:bCs/>
                      <w:color w:val="000000" w:themeColor="text1"/>
                      <w:kern w:val="0"/>
                      <w:sz w:val="24"/>
                      <w:szCs w:val="24"/>
                      <w:highlight w:val="none"/>
                      <w:shd w:val="clear" w:color="auto" w:fill="auto"/>
                      <w:lang w:val="en-US" w:eastAsia="zh-CN"/>
                      <w14:textFill>
                        <w14:solidFill>
                          <w14:schemeClr w14:val="tx1"/>
                        </w14:solidFill>
                      </w14:textFill>
                    </w:rPr>
                    <w:t>银</w:t>
                  </w: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000000" w:themeColor="text1"/>
                      <w:ker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账号</w:t>
                  </w:r>
                  <w:r>
                    <w:rPr>
                      <w:rFonts w:hint="eastAsia" w:ascii="宋体" w:hAnsi="宋体" w:cs="宋体"/>
                      <w:b w:val="0"/>
                      <w:bCs/>
                      <w:color w:val="000000" w:themeColor="text1"/>
                      <w:kern w:val="0"/>
                      <w:sz w:val="24"/>
                      <w:szCs w:val="24"/>
                      <w:highlight w:val="none"/>
                      <w:shd w:val="clear" w:color="auto" w:fill="auto"/>
                      <w:lang w:eastAsia="zh-CN"/>
                      <w14:textFill>
                        <w14:solidFill>
                          <w14:schemeClr w14:val="tx1"/>
                        </w14:solidFill>
                      </w14:textFill>
                    </w:rPr>
                    <w:t>：76700188017399359</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bookmarkStart w:id="3" w:name="_GoBack"/>
            <w:bookmarkEnd w:id="3"/>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支付完成后，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登录</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安徽公共资源交易集团电子交易系统点击“保证金查询”查看</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支付状态。若显示“未支付”，可点击查询</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按钮</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刷新支付状态。若刷新后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支付状态仍显示“未支付”的，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可在公告截止前及时联系</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技术咨询电话：</w:t>
            </w:r>
            <w:r>
              <w:rPr>
                <w:rFonts w:ascii="宋体" w:hAnsi="宋体" w:cs="宋体"/>
                <w:color w:val="000000" w:themeColor="text1"/>
                <w:sz w:val="24"/>
                <w:highlight w:val="none"/>
                <w14:textFill>
                  <w14:solidFill>
                    <w14:schemeClr w14:val="tx1"/>
                  </w14:solidFill>
                </w14:textFill>
              </w:rPr>
              <w:t>0512-58188516</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shd w:val="clear" w:color="auto" w:fill="auto"/>
                <w14:textFill>
                  <w14:solidFill>
                    <w14:schemeClr w14:val="tx1"/>
                  </w14:solidFill>
                </w14:textFill>
              </w:rPr>
              <w:t>注意事项：</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支付以到账时间为准，</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须确保</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的交易保证金在公告截止时间前到账，网上登记系统将在到达公告截止时间时自动关闭。如因账号错误、</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数额不足、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未在规定时间内到账、现金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缴款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等原因造成未能登记及竞价成功，</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状态为“已支付”的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2.竞价规则详见</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kern w:val="0"/>
                <w:sz w:val="24"/>
                <w:szCs w:val="24"/>
                <w:highlight w:val="none"/>
                <w:shd w:val="clear" w:color="auto" w:fill="auto"/>
                <w14:textFill>
                  <w14:solidFill>
                    <w14:schemeClr w14:val="tx1"/>
                  </w14:solidFill>
                </w14:textFill>
              </w:rPr>
              <w:t>网络一次性报价须知</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本公告</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上传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37F08605">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.如</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标的有优先权人的，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优先权人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须按照上述要求及时办理注册、登记及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后</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，方可进入竞价系统行使优先权。逾期或者未按规定完成上述流程视同放弃优先权</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重要提示：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须在公告期内完成注册、登记及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手续，因未在规定时</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间内</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完成上述手续造成无法参与竞价的，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不承担任何责任。上述注册、登记及竞价等具体操作流程</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详见</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农村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产权交易操作手册》</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结果</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竞价结束且无异常情况，</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将在网站上发布</w:t>
            </w:r>
            <w:r>
              <w:rPr>
                <w:rFonts w:hint="eastAsia" w:ascii="宋体" w:hAnsi="宋体" w:eastAsia="宋体" w:cs="宋体"/>
                <w:b w:val="0"/>
                <w:bCs w:val="0"/>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cs="宋体"/>
                <w:b w:val="0"/>
                <w:bCs w:val="0"/>
                <w:color w:val="000000" w:themeColor="text1"/>
                <w:kern w:val="0"/>
                <w:sz w:val="24"/>
                <w:szCs w:val="24"/>
                <w:highlight w:val="none"/>
                <w:shd w:val="clear" w:color="auto" w:fill="auto"/>
                <w:lang w:val="en-US" w:eastAsia="zh-CN"/>
                <w14:textFill>
                  <w14:solidFill>
                    <w14:schemeClr w14:val="tx1"/>
                  </w14:solidFill>
                </w14:textFill>
              </w:rPr>
              <w:t>结果公告发布后，</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将通过电子交易系统向</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成交人</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发出即视为送达</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人</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请登录电子交易系统领取</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1.合同签订</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生效后，流入方交纳的交易保证金扣除交易服务费后的剩余款项可转为首期流转价款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在</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发布之日起5个工作日内原额原途径返还</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不计利息）</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只退还至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交</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款账户。因收款人与</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名称不一致造成的交易保证金无法退还或迟延退还，</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（1）意向方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（2）意向方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（3）意向方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采取不正当手段影响和干扰其他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（4）</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未按交易文件约定交纳履约保证金或未按交易文件约定</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签订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14:textFill>
                  <w14:solidFill>
                    <w14:schemeClr w14:val="tx1"/>
                  </w14:solidFill>
                </w14:textFill>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若对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公告有异议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可自</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公告发布次日起3个工作日内</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以书面形式提出异议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异议材料递交地址</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交易服务费按“差额定率累进法”计算，向</w:t>
            </w:r>
            <w:r>
              <w:rPr>
                <w:rFonts w:hint="eastAsia" w:ascii="宋体" w:hAnsi="宋体" w:cs="宋体"/>
                <w:color w:val="000000" w:themeColor="text1"/>
                <w:kern w:val="0"/>
                <w:sz w:val="24"/>
                <w:szCs w:val="24"/>
                <w:highlight w:val="none"/>
                <w:lang w:val="en-US" w:eastAsia="zh-CN"/>
                <w14:textFill>
                  <w14:solidFill>
                    <w14:schemeClr w14:val="tx1"/>
                  </w14:solidFill>
                </w14:textFill>
              </w:rPr>
              <w:t>成交</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可在公告截止之前工作时间内</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项目负责人处查阅委托方向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提供的相关项目材料。上述材料均为参考性意见，不构成</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2.对本项目公告内容要求澄清或有异议的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，应于公告截止日</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的</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3个工作日</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内</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，以书面形式向</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对本公告进行的澄清、更正或更改，将在网站上及时发布（网址：http://ggzy.hefei.gov.cn、http://www.ahaee.com/），该公告内容为</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公告的组成部分，对</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具有约束力。</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应主动上网查询</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不承担</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4.在公告截止时间前，</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现场踏勘</w:t>
            </w:r>
          </w:p>
          <w:p w14:paraId="4B2682BB">
            <w:pPr>
              <w:pStyle w:val="2"/>
              <w:ind w:left="0" w:leftChars="0" w:firstLine="0" w:firstLineChars="0"/>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委托方</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王振玲 </w:t>
            </w: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eastAsia="zh-CN"/>
                <w14:textFill>
                  <w14:solidFill>
                    <w14:schemeClr w14:val="tx1"/>
                  </w14:solidFill>
                </w14:textFill>
              </w:rPr>
              <w:t>0551-62515716</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32"/>
                <w:highlight w:val="none"/>
                <w:lang w:val="en-US" w:eastAsia="zh-CN"/>
                <w14:textFill>
                  <w14:solidFill>
                    <w14:schemeClr w14:val="tx1"/>
                  </w14:solidFill>
                </w14:textFill>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val="en-US" w:eastAsia="zh-CN"/>
                <w14:textFill>
                  <w14:solidFill>
                    <w14:schemeClr w14:val="tx1"/>
                  </w14:solidFill>
                </w14:textFill>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val="en-US" w:eastAsia="zh-CN"/>
                <w14:textFill>
                  <w14:solidFill>
                    <w14:schemeClr w14:val="tx1"/>
                  </w14:solidFill>
                </w14:textFill>
              </w:rPr>
              <w:t>0551-65777671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技术</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本公告为本项目唯一法定文书，一切解释以本公告为准。本公告及其附件解释权归安徽省农村综合产权交易所。</w:t>
            </w:r>
          </w:p>
        </w:tc>
      </w:tr>
    </w:tbl>
    <w:p w14:paraId="03209B7D">
      <w:pPr>
        <w:widowControl/>
        <w:jc w:val="both"/>
        <w:rPr>
          <w:rFonts w:cs="Arial" w:asciiTheme="minorEastAsia" w:hAnsiTheme="minorEastAsia" w:eastAsiaTheme="minorEastAsia"/>
          <w:color w:val="000000" w:themeColor="text1"/>
          <w:kern w:val="0"/>
          <w:sz w:val="32"/>
          <w:szCs w:val="32"/>
          <w14:textFill>
            <w14:solidFill>
              <w14:schemeClr w14:val="tx1"/>
            </w14:solidFill>
          </w14:textFill>
        </w:rPr>
      </w:pPr>
    </w:p>
    <w:p w14:paraId="79B5F05E">
      <w:pPr>
        <w:widowControl/>
        <w:ind w:firstLine="4320" w:firstLineChars="1350"/>
        <w:jc w:val="right"/>
        <w:rPr>
          <w:rFonts w:hint="default" w:cs="Arial" w:asciiTheme="minorEastAsia" w:hAnsiTheme="minorEastAsia" w:eastAsiaTheme="minorEastAsia"/>
          <w:color w:val="000000" w:themeColor="text1"/>
          <w:kern w:val="0"/>
          <w:sz w:val="32"/>
          <w:szCs w:val="32"/>
          <w:lang w:val="en-US" w:eastAsia="zh-CN"/>
          <w14:textFill>
            <w14:solidFill>
              <w14:schemeClr w14:val="tx1"/>
            </w14:solidFill>
          </w14:textFill>
        </w:rPr>
      </w:pPr>
      <w:r>
        <w:rPr>
          <w:rFonts w:hint="eastAsia" w:cs="Arial" w:asciiTheme="minorEastAsia" w:hAnsiTheme="minorEastAsia" w:eastAsiaTheme="minorEastAsia"/>
          <w:color w:val="000000" w:themeColor="text1"/>
          <w:kern w:val="0"/>
          <w:sz w:val="32"/>
          <w:szCs w:val="32"/>
          <w14:textFill>
            <w14:solidFill>
              <w14:schemeClr w14:val="tx1"/>
            </w14:solidFill>
          </w14:textFill>
        </w:rPr>
        <w:t>安徽省农村综合产权交易所</w:t>
      </w:r>
      <w:r>
        <w:rPr>
          <w:rFonts w:hint="eastAsia" w:cs="Arial" w:asciiTheme="minorEastAsia" w:hAnsiTheme="minorEastAsia" w:eastAsiaTheme="minorEastAsia"/>
          <w:color w:val="000000" w:themeColor="text1"/>
          <w:kern w:val="0"/>
          <w:sz w:val="32"/>
          <w:szCs w:val="32"/>
          <w:lang w:val="en-US" w:eastAsia="zh-CN"/>
          <w14:textFill>
            <w14:solidFill>
              <w14:schemeClr w14:val="tx1"/>
            </w14:solidFill>
          </w14:textFill>
        </w:rPr>
        <w:t>新站分所</w:t>
      </w:r>
    </w:p>
    <w:p w14:paraId="4C8CDCFB">
      <w:pPr>
        <w:ind w:firstLine="4000" w:firstLineChars="1250"/>
        <w:rPr>
          <w:rFonts w:ascii="Times New Roman" w:hAnsi="Times New Roman" w:eastAsia="仿宋_GB2312" w:cs="Times New Roman"/>
          <w:snapToGrid w:val="0"/>
          <w:color w:val="000000" w:themeColor="text1"/>
          <w:sz w:val="32"/>
          <w:szCs w:val="32"/>
          <w:u w:val="single"/>
          <w14:textFill>
            <w14:solidFill>
              <w14:schemeClr w14:val="tx1"/>
            </w14:solidFill>
          </w14:textFill>
        </w:rPr>
      </w:pPr>
      <w:r>
        <w:rPr>
          <w:rFonts w:cs="Arial" w:asciiTheme="minorEastAsia" w:hAnsiTheme="minorEastAsia" w:eastAsiaTheme="minorEastAsia"/>
          <w:color w:val="000000" w:themeColor="text1"/>
          <w:kern w:val="0"/>
          <w:sz w:val="32"/>
          <w:szCs w:val="32"/>
          <w14:textFill>
            <w14:solidFill>
              <w14:schemeClr w14:val="tx1"/>
            </w14:solidFill>
          </w14:textFill>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color w:val="000000" w:themeColor="text1"/>
          <w:sz w:val="32"/>
          <w:szCs w:val="32"/>
          <w14:textFill>
            <w14:solidFill>
              <w14:schemeClr w14:val="tx1"/>
            </w14:solidFill>
          </w14:textFill>
        </w:rPr>
      </w:pPr>
      <w:r>
        <w:rPr>
          <w:rFonts w:hint="eastAsia" w:eastAsia="仿宋_GB2312" w:cs="Times New Roman"/>
          <w:snapToGrid w:val="0"/>
          <w:color w:val="000000" w:themeColor="text1"/>
          <w:sz w:val="28"/>
          <w:szCs w:val="28"/>
          <w:lang w:val="en-US" w:eastAsia="zh-CN"/>
          <w14:textFill>
            <w14:solidFill>
              <w14:schemeClr w14:val="tx1"/>
            </w14:solidFill>
          </w14:textFill>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合同编号：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签订日期：</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w:t>
      </w:r>
      <w:r>
        <w:rPr>
          <w:rFonts w:hint="eastAsia" w:ascii="宋体" w:hAnsi="宋体" w:cs="宋体"/>
          <w:color w:val="000000" w:themeColor="text1"/>
          <w:kern w:val="0"/>
          <w:sz w:val="24"/>
          <w:szCs w:val="24"/>
          <w:lang w:eastAsia="zh-CN"/>
          <w14:textFill>
            <w14:solidFill>
              <w14:schemeClr w14:val="tx1"/>
            </w14:solidFill>
          </w14:textFill>
        </w:rPr>
        <w:t>流出方</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乙方（流入方）：</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农村产权交易机构交易鉴证书编号： </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为维护当事人的合法权益，根据《中华人民共和国农村土地承包法</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中华人民共和国民法典</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甲方愿意将其承包的位于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县（市、区）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乡（镇、街道）</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村（居）</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组的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亩土地（详见下表）经营权流转（出租）给乙方，从事（主营项目）</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土地承包经营权证号为</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注：地类指流转前土地利用类型，可分为水田、旱地、水浇地、果园、茶园、其他等；地力等级评定执行</w:t>
      </w:r>
      <w:r>
        <w:rPr>
          <w:rFonts w:hint="eastAsia" w:ascii="宋体" w:hAnsi="宋体" w:cs="宋体"/>
          <w:color w:val="000000" w:themeColor="text1"/>
          <w:kern w:val="0"/>
          <w:sz w:val="24"/>
          <w:szCs w:val="24"/>
          <w:lang w:eastAsia="zh-CN"/>
          <w14:textFill>
            <w14:solidFill>
              <w14:schemeClr w14:val="tx1"/>
            </w14:solidFill>
          </w14:textFill>
        </w:rPr>
        <w:t>农业农村部</w:t>
      </w:r>
      <w:r>
        <w:rPr>
          <w:rFonts w:hint="eastAsia" w:ascii="宋体" w:hAnsi="宋体" w:eastAsia="宋体" w:cs="宋体"/>
          <w:color w:val="000000" w:themeColor="text1"/>
          <w:kern w:val="0"/>
          <w:sz w:val="24"/>
          <w:szCs w:val="24"/>
          <w14:textFill>
            <w14:solidFill>
              <w14:schemeClr w14:val="tx1"/>
            </w14:solidFill>
          </w14:textFill>
        </w:rPr>
        <w:t>《全国耕地类型区、耕地地力等级划分标准》（NY/T 309—1996），分一</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土地流转（租赁）期限为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年，自</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日起至</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日止（最长不得超过土地承包期剩余期限）。甲方应于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第一年流转价款为人民币</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元，以后递增方式及比例为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天内乙方向甲方（或乡镇三资委托代理中心）一次性支付土地流转价款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流转价款为每年每亩</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斤</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稻谷（稻谷等级），以后递增方式及比例为</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天内乙方向甲方（或乡镇三资委托代理中心）一次性支付土地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cs="宋体"/>
          <w:color w:val="000000" w:themeColor="text1"/>
          <w:kern w:val="0"/>
          <w:sz w:val="24"/>
          <w:szCs w:val="24"/>
          <w:lang w:val="en-US" w:eastAsia="zh-CN"/>
          <w14:textFill>
            <w14:solidFill>
              <w14:schemeClr w14:val="tx1"/>
            </w14:solidFill>
          </w14:textFill>
        </w:rPr>
        <w:t>流转期满</w:t>
      </w:r>
      <w:r>
        <w:rPr>
          <w:rFonts w:hint="eastAsia" w:ascii="宋体" w:hAnsi="宋体" w:eastAsia="宋体" w:cs="宋体"/>
          <w:color w:val="000000" w:themeColor="text1"/>
          <w:kern w:val="0"/>
          <w:sz w:val="24"/>
          <w:szCs w:val="24"/>
          <w14:textFill>
            <w14:solidFill>
              <w14:schemeClr w14:val="tx1"/>
            </w14:solidFill>
          </w14:textFill>
        </w:rPr>
        <w:t>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第五条 合同的变更、解除和</w:t>
      </w:r>
      <w:r>
        <w:rPr>
          <w:rFonts w:hint="eastAsia" w:ascii="宋体" w:hAnsi="宋体" w:cs="宋体"/>
          <w:color w:val="000000" w:themeColor="text1"/>
          <w:kern w:val="0"/>
          <w:sz w:val="24"/>
          <w:szCs w:val="24"/>
          <w:lang w:eastAsia="zh-CN"/>
          <w14:textFill>
            <w14:solidFill>
              <w14:schemeClr w14:val="tx1"/>
            </w14:solidFill>
          </w14:textFill>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（一）本合同效力不受甲乙双方法定代表人变动影响，也不因集体经济组织的分立或合并而变更或解除。任何一方不得随意</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合同。因不可抗</w:t>
      </w:r>
      <w:r>
        <w:rPr>
          <w:rFonts w:hint="eastAsia" w:ascii="宋体" w:hAnsi="宋体" w:cs="宋体"/>
          <w:color w:val="000000" w:themeColor="text1"/>
          <w:kern w:val="0"/>
          <w:sz w:val="24"/>
          <w:szCs w:val="24"/>
          <w:lang w:eastAsia="zh-CN"/>
          <w14:textFill>
            <w14:solidFill>
              <w14:schemeClr w14:val="tx1"/>
            </w14:solidFill>
          </w14:textFill>
        </w:rPr>
        <w:t>拒的</w:t>
      </w:r>
      <w:r>
        <w:rPr>
          <w:rFonts w:hint="eastAsia" w:ascii="宋体" w:hAnsi="宋体" w:eastAsia="宋体" w:cs="宋体"/>
          <w:color w:val="000000" w:themeColor="text1"/>
          <w:kern w:val="0"/>
          <w:sz w:val="24"/>
          <w:szCs w:val="24"/>
          <w14:textFill>
            <w14:solidFill>
              <w14:schemeClr w14:val="tx1"/>
            </w14:solidFill>
          </w14:textFill>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（二）合同期满后，甲方有权收回该土地的经营权，乙方应清理承包土地上的所建设施，在合同期满或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（四）有下列情况之一者，本合同可以解除或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合同期内，如因国家及农业基础设施占用或征用该土地的，本合同自动</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五</w:t>
      </w:r>
      <w:r>
        <w:rPr>
          <w:rFonts w:hint="eastAsia" w:ascii="宋体" w:hAnsi="宋体" w:eastAsia="宋体" w:cs="宋体"/>
          <w:color w:val="000000" w:themeColor="text1"/>
          <w:kern w:val="0"/>
          <w:sz w:val="24"/>
          <w:szCs w:val="24"/>
          <w14:textFill>
            <w14:solidFill>
              <w14:schemeClr w14:val="tx1"/>
            </w14:solidFill>
          </w14:textFill>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逾期未交纳土地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乙方逾期支付流转费用，每延迟一天，按应流转费用的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甲方逾期交付土地，每延迟一天，按流转费用的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其他需说明的事项</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本合同自双方签字后生效。经协商，决定</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8AAE346-F852-4583-ACF9-C0239F25890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E2FB622B-8641-48CE-A128-0D5ACD6E763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B7D76867-D0E5-44A9-980C-0061D7B9C186}"/>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9"/>
          <w:jc w:val="center"/>
        </w:pPr>
        <w:r>
          <w:fldChar w:fldCharType="begin"/>
        </w:r>
        <w:r>
          <w:instrText xml:space="preserve">PAGE   \* MERGEFORMAT</w:instrText>
        </w:r>
        <w:r>
          <w:fldChar w:fldCharType="separate"/>
        </w:r>
        <w:r>
          <w:rPr>
            <w:lang w:val="zh-CN"/>
          </w:rPr>
          <w:t>15</w:t>
        </w:r>
        <w:r>
          <w:fldChar w:fldCharType="end"/>
        </w:r>
      </w:p>
    </w:sdtContent>
  </w:sdt>
  <w:p w14:paraId="4FEA255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10"/>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964ABA"/>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46565D"/>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616DB"/>
    <w:rsid w:val="2C1B6F9C"/>
    <w:rsid w:val="2C416A03"/>
    <w:rsid w:val="2C583D4C"/>
    <w:rsid w:val="2C7F577D"/>
    <w:rsid w:val="2CA945A8"/>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76412F"/>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6E5446"/>
    <w:rsid w:val="49C83E68"/>
    <w:rsid w:val="49C94CF6"/>
    <w:rsid w:val="49D61FF8"/>
    <w:rsid w:val="49E73693"/>
    <w:rsid w:val="49F57849"/>
    <w:rsid w:val="4A0212C6"/>
    <w:rsid w:val="4A021716"/>
    <w:rsid w:val="4A0B0F07"/>
    <w:rsid w:val="4A2F399F"/>
    <w:rsid w:val="4AA572BE"/>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0420FD"/>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6FA762A"/>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A8C403F"/>
    <w:rsid w:val="5B716904"/>
    <w:rsid w:val="5BB07457"/>
    <w:rsid w:val="5BB71F8E"/>
    <w:rsid w:val="5BD3777F"/>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3F6C61"/>
    <w:rsid w:val="5F6D6A29"/>
    <w:rsid w:val="5F795521"/>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054B34"/>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A491AB4"/>
    <w:rsid w:val="6B0A3E88"/>
    <w:rsid w:val="6B594A66"/>
    <w:rsid w:val="6BD3071E"/>
    <w:rsid w:val="6C112375"/>
    <w:rsid w:val="6C565081"/>
    <w:rsid w:val="6CC91B21"/>
    <w:rsid w:val="6CEF77DA"/>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1A1328"/>
    <w:rsid w:val="73591BAE"/>
    <w:rsid w:val="742E61BB"/>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74F25"/>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6">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annotation text"/>
    <w:basedOn w:val="1"/>
    <w:semiHidden/>
    <w:unhideWhenUsed/>
    <w:qFormat/>
    <w:uiPriority w:val="99"/>
    <w:pPr>
      <w:jc w:val="left"/>
    </w:pPr>
  </w:style>
  <w:style w:type="paragraph" w:styleId="8">
    <w:name w:val="Balloon Text"/>
    <w:basedOn w:val="1"/>
    <w:link w:val="31"/>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10"/>
    <w:qFormat/>
    <w:uiPriority w:val="99"/>
    <w:rPr>
      <w:rFonts w:ascii="Times New Roman" w:hAnsi="Times New Roman" w:eastAsia="宋体" w:cs="Times New Roman"/>
      <w:sz w:val="18"/>
      <w:szCs w:val="18"/>
    </w:rPr>
  </w:style>
  <w:style w:type="character" w:customStyle="1" w:styleId="29">
    <w:name w:val="页脚 Char"/>
    <w:basedOn w:val="14"/>
    <w:link w:val="9"/>
    <w:qFormat/>
    <w:uiPriority w:val="99"/>
    <w:rPr>
      <w:rFonts w:ascii="Times New Roman" w:hAnsi="Times New Roman" w:eastAsia="宋体" w:cs="Times New Roman"/>
      <w:sz w:val="18"/>
      <w:szCs w:val="18"/>
    </w:rPr>
  </w:style>
  <w:style w:type="character" w:customStyle="1" w:styleId="30">
    <w:name w:val="标题 6 Char"/>
    <w:basedOn w:val="14"/>
    <w:link w:val="6"/>
    <w:qFormat/>
    <w:uiPriority w:val="9"/>
    <w:rPr>
      <w:rFonts w:asciiTheme="majorHAnsi" w:hAnsiTheme="majorHAnsi" w:eastAsiaTheme="majorEastAsia" w:cstheme="majorBidi"/>
      <w:b/>
      <w:bCs/>
      <w:sz w:val="24"/>
      <w:szCs w:val="24"/>
    </w:rPr>
  </w:style>
  <w:style w:type="character" w:customStyle="1" w:styleId="31">
    <w:name w:val="批注框文本 Char"/>
    <w:basedOn w:val="14"/>
    <w:link w:val="8"/>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7305</Words>
  <Characters>7820</Characters>
  <Lines>75</Lines>
  <Paragraphs>21</Paragraphs>
  <TotalTime>0</TotalTime>
  <ScaleCrop>false</ScaleCrop>
  <LinksUpToDate>false</LinksUpToDate>
  <CharactersWithSpaces>8552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2026-06-22T09:31:25Z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