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883"/>
        <w:jc w:val="center"/>
        <w:rPr>
          <w:rFonts w:ascii="Times New Roman" w:hAnsi="Times New Roman" w:eastAsia="宋体" w:cs="Times New Roman"/>
          <w:b/>
          <w:sz w:val="44"/>
        </w:rPr>
      </w:pPr>
    </w:p>
    <w:p>
      <w:pPr>
        <w:spacing w:line="240" w:lineRule="auto"/>
        <w:ind w:firstLine="883"/>
        <w:jc w:val="center"/>
        <w:rPr>
          <w:rFonts w:ascii="Times New Roman" w:hAnsi="Times New Roman" w:eastAsia="宋体" w:cs="Times New Roman"/>
          <w:b/>
          <w:sz w:val="44"/>
        </w:rPr>
      </w:pPr>
    </w:p>
    <w:p>
      <w:pPr>
        <w:spacing w:line="240" w:lineRule="auto"/>
        <w:ind w:firstLine="883"/>
        <w:jc w:val="center"/>
        <w:rPr>
          <w:rFonts w:ascii="Times New Roman" w:hAnsi="Times New Roman" w:eastAsia="宋体" w:cs="Times New Roman"/>
          <w:b/>
          <w:sz w:val="44"/>
        </w:rPr>
      </w:pPr>
    </w:p>
    <w:p>
      <w:pPr>
        <w:spacing w:line="240" w:lineRule="auto"/>
        <w:ind w:firstLine="883"/>
        <w:jc w:val="center"/>
        <w:rPr>
          <w:rFonts w:ascii="Times New Roman" w:hAnsi="Times New Roman" w:eastAsia="宋体" w:cs="Times New Roman"/>
          <w:b/>
          <w:sz w:val="44"/>
        </w:rPr>
      </w:pPr>
    </w:p>
    <w:p>
      <w:pPr>
        <w:spacing w:line="240" w:lineRule="auto"/>
        <w:ind w:firstLine="883"/>
        <w:jc w:val="center"/>
        <w:rPr>
          <w:rFonts w:ascii="Times New Roman" w:hAnsi="Times New Roman" w:eastAsia="宋体" w:cs="Times New Roman"/>
          <w:b/>
          <w:sz w:val="44"/>
        </w:rPr>
      </w:pPr>
      <w:r>
        <w:rPr>
          <w:rFonts w:hint="eastAsia" w:ascii="Times New Roman" w:hAnsi="Times New Roman" w:eastAsia="宋体" w:cs="Times New Roman"/>
          <w:b/>
          <w:sz w:val="44"/>
        </w:rPr>
        <w:t>安徽公共资源交易集团农村产权交易</w:t>
      </w:r>
    </w:p>
    <w:p>
      <w:pPr>
        <w:spacing w:line="240" w:lineRule="auto"/>
        <w:ind w:firstLine="883"/>
        <w:jc w:val="center"/>
        <w:rPr>
          <w:rFonts w:ascii="Times New Roman" w:hAnsi="Times New Roman" w:eastAsia="宋体" w:cs="Times New Roman"/>
          <w:b/>
          <w:sz w:val="44"/>
        </w:rPr>
      </w:pPr>
      <w:r>
        <w:rPr>
          <w:rFonts w:hint="eastAsia" w:ascii="Times New Roman" w:hAnsi="Times New Roman" w:eastAsia="宋体" w:cs="Times New Roman"/>
          <w:b/>
          <w:sz w:val="44"/>
        </w:rPr>
        <w:t>操作手册</w:t>
      </w: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420"/>
        <w:rPr>
          <w:rFonts w:ascii="Times New Roman" w:hAnsi="Times New Roman" w:eastAsia="宋体" w:cs="Times New Roman"/>
        </w:rPr>
      </w:pPr>
    </w:p>
    <w:p>
      <w:pPr>
        <w:spacing w:line="240" w:lineRule="auto"/>
        <w:ind w:firstLine="640"/>
        <w:rPr>
          <w:rFonts w:ascii="Calibri" w:hAnsi="Calibri" w:eastAsia="宋体" w:cs="Times New Roman"/>
          <w:sz w:val="32"/>
        </w:rPr>
      </w:pPr>
    </w:p>
    <w:p>
      <w:pPr>
        <w:spacing w:line="240" w:lineRule="auto"/>
        <w:ind w:firstLine="640"/>
        <w:jc w:val="center"/>
        <w:rPr>
          <w:rFonts w:ascii="Calibri" w:hAnsi="Calibri" w:eastAsia="宋体" w:cs="Times New Roman"/>
          <w:sz w:val="32"/>
        </w:rPr>
      </w:pPr>
      <w:r>
        <w:rPr>
          <w:rFonts w:hint="eastAsia" w:ascii="Calibri" w:hAnsi="Calibri" w:eastAsia="宋体" w:cs="Times New Roman"/>
          <w:sz w:val="32"/>
        </w:rPr>
        <w:t>安徽公共资源交易集团</w:t>
      </w:r>
    </w:p>
    <w:p>
      <w:pPr>
        <w:spacing w:line="240" w:lineRule="auto"/>
        <w:ind w:firstLine="640"/>
        <w:jc w:val="center"/>
        <w:rPr>
          <w:rFonts w:ascii="Calibri" w:hAnsi="Calibri" w:eastAsia="宋体" w:cs="Times New Roman"/>
          <w:sz w:val="32"/>
        </w:rPr>
      </w:pPr>
      <w:r>
        <w:rPr>
          <w:rFonts w:ascii="Calibri" w:hAnsi="Calibri" w:eastAsia="宋体" w:cs="Times New Roman"/>
          <w:sz w:val="32"/>
        </w:rPr>
        <w:br w:type="page"/>
      </w:r>
    </w:p>
    <w:p>
      <w:pPr>
        <w:spacing w:line="240" w:lineRule="auto"/>
        <w:ind w:firstLine="640"/>
        <w:jc w:val="center"/>
        <w:rPr>
          <w:rFonts w:ascii="Calibri" w:hAnsi="Calibri" w:eastAsia="宋体" w:cs="Times New Roman"/>
          <w:sz w:val="32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Theme="minorHAnsi" w:hAnsiTheme="minorHAnsi" w:eastAsiaTheme="minorEastAsia" w:cstheme="minorBidi"/>
          <w:b w:val="0"/>
          <w:bCs w:val="0"/>
          <w:color w:val="auto"/>
          <w:kern w:val="2"/>
          <w:sz w:val="21"/>
          <w:szCs w:val="22"/>
          <w:lang w:val="zh-CN"/>
        </w:rPr>
        <w:id w:val="1903551147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 w:val="0"/>
          <w:bCs w:val="0"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16"/>
            <w:ind w:firstLine="420"/>
          </w:pPr>
          <w:r>
            <w:rPr>
              <w:lang w:val="zh-CN"/>
            </w:rPr>
            <w:t>目录</w:t>
          </w:r>
        </w:p>
        <w:p>
          <w:pPr>
            <w:pStyle w:val="7"/>
            <w:tabs>
              <w:tab w:val="right" w:leader="dot" w:pos="8296"/>
            </w:tabs>
            <w:ind w:firstLine="420"/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"_Toc44249571" </w:instrText>
          </w:r>
          <w:r>
            <w:fldChar w:fldCharType="separate"/>
          </w:r>
          <w:r>
            <w:rPr>
              <w:rStyle w:val="11"/>
              <w:rFonts w:hint="eastAsia"/>
            </w:rPr>
            <w:t>一、系统登录</w:t>
          </w:r>
          <w:r>
            <w:tab/>
          </w:r>
          <w:r>
            <w:fldChar w:fldCharType="begin"/>
          </w:r>
          <w:r>
            <w:instrText xml:space="preserve"> PAGEREF _Toc44249571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ind w:firstLine="420"/>
          </w:pPr>
          <w:r>
            <w:fldChar w:fldCharType="begin"/>
          </w:r>
          <w:r>
            <w:instrText xml:space="preserve"> HYPERLINK \l "_Toc44249572" </w:instrText>
          </w:r>
          <w:r>
            <w:fldChar w:fldCharType="separate"/>
          </w:r>
          <w:r>
            <w:rPr>
              <w:rStyle w:val="11"/>
            </w:rPr>
            <w:t>1</w:t>
          </w:r>
          <w:r>
            <w:rPr>
              <w:rStyle w:val="11"/>
              <w:rFonts w:hint="eastAsia"/>
            </w:rPr>
            <w:t>、</w:t>
          </w:r>
          <w:r>
            <w:rPr>
              <w:rStyle w:val="11"/>
            </w:rPr>
            <w:t>CA</w:t>
          </w:r>
          <w:r>
            <w:rPr>
              <w:rStyle w:val="11"/>
              <w:rFonts w:hint="eastAsia"/>
            </w:rPr>
            <w:t>登录方式（企业）</w:t>
          </w:r>
          <w:r>
            <w:tab/>
          </w:r>
          <w:r>
            <w:fldChar w:fldCharType="begin"/>
          </w:r>
          <w:r>
            <w:instrText xml:space="preserve"> PAGEREF _Toc44249572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ind w:firstLine="420"/>
          </w:pPr>
          <w:r>
            <w:fldChar w:fldCharType="begin"/>
          </w:r>
          <w:r>
            <w:instrText xml:space="preserve"> HYPERLINK \l "_Toc44249573" </w:instrText>
          </w:r>
          <w:r>
            <w:fldChar w:fldCharType="separate"/>
          </w:r>
          <w:r>
            <w:rPr>
              <w:rStyle w:val="11"/>
            </w:rPr>
            <w:t>2</w:t>
          </w:r>
          <w:r>
            <w:rPr>
              <w:rStyle w:val="11"/>
              <w:rFonts w:hint="eastAsia"/>
            </w:rPr>
            <w:t>、用户名密码登录方式（自然人）</w:t>
          </w:r>
          <w:r>
            <w:tab/>
          </w:r>
          <w:r>
            <w:fldChar w:fldCharType="begin"/>
          </w:r>
          <w:r>
            <w:instrText xml:space="preserve"> PAGEREF _Toc44249573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296"/>
            </w:tabs>
            <w:ind w:firstLine="420"/>
          </w:pPr>
          <w:r>
            <w:fldChar w:fldCharType="begin"/>
          </w:r>
          <w:r>
            <w:instrText xml:space="preserve"> HYPERLINK \l "_Toc44249574" </w:instrText>
          </w:r>
          <w:r>
            <w:fldChar w:fldCharType="separate"/>
          </w:r>
          <w:r>
            <w:rPr>
              <w:rStyle w:val="11"/>
              <w:rFonts w:hint="eastAsia"/>
            </w:rPr>
            <w:t>二、项目操作</w:t>
          </w:r>
          <w:r>
            <w:tab/>
          </w:r>
          <w:r>
            <w:fldChar w:fldCharType="begin"/>
          </w:r>
          <w:r>
            <w:instrText xml:space="preserve"> PAGEREF _Toc44249574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ind w:firstLine="420"/>
          </w:pPr>
          <w:r>
            <w:fldChar w:fldCharType="begin"/>
          </w:r>
          <w:r>
            <w:instrText xml:space="preserve"> HYPERLINK \l "_Toc44249575" </w:instrText>
          </w:r>
          <w:r>
            <w:fldChar w:fldCharType="separate"/>
          </w:r>
          <w:r>
            <w:rPr>
              <w:rStyle w:val="11"/>
            </w:rPr>
            <w:t>1</w:t>
          </w:r>
          <w:r>
            <w:rPr>
              <w:rStyle w:val="11"/>
              <w:rFonts w:hint="eastAsia"/>
            </w:rPr>
            <w:t>、选择项目</w:t>
          </w:r>
          <w:r>
            <w:tab/>
          </w:r>
          <w:r>
            <w:fldChar w:fldCharType="begin"/>
          </w:r>
          <w:r>
            <w:instrText xml:space="preserve"> PAGEREF _Toc44249575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ind w:firstLine="420"/>
          </w:pPr>
          <w:r>
            <w:fldChar w:fldCharType="begin"/>
          </w:r>
          <w:r>
            <w:instrText xml:space="preserve"> HYPERLINK \l "_Toc44249576" </w:instrText>
          </w:r>
          <w:r>
            <w:fldChar w:fldCharType="separate"/>
          </w:r>
          <w:r>
            <w:rPr>
              <w:rStyle w:val="11"/>
            </w:rPr>
            <w:t>2</w:t>
          </w:r>
          <w:r>
            <w:rPr>
              <w:rStyle w:val="11"/>
              <w:rFonts w:hint="eastAsia"/>
            </w:rPr>
            <w:t>、项目登记</w:t>
          </w:r>
          <w:r>
            <w:tab/>
          </w:r>
          <w:r>
            <w:fldChar w:fldCharType="begin"/>
          </w:r>
          <w:r>
            <w:instrText xml:space="preserve"> PAGEREF _Toc44249576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ind w:firstLine="420"/>
          </w:pPr>
          <w:r>
            <w:fldChar w:fldCharType="begin"/>
          </w:r>
          <w:r>
            <w:instrText xml:space="preserve"> HYPERLINK \l "_Toc44249577" </w:instrText>
          </w:r>
          <w:r>
            <w:fldChar w:fldCharType="separate"/>
          </w:r>
          <w:r>
            <w:rPr>
              <w:rStyle w:val="11"/>
            </w:rPr>
            <w:t>3</w:t>
          </w:r>
          <w:r>
            <w:rPr>
              <w:rStyle w:val="11"/>
              <w:rFonts w:hint="eastAsia"/>
            </w:rPr>
            <w:t>、保证金查询</w:t>
          </w:r>
          <w:r>
            <w:tab/>
          </w:r>
          <w:r>
            <w:fldChar w:fldCharType="begin"/>
          </w:r>
          <w:r>
            <w:instrText xml:space="preserve"> PAGEREF _Toc44249577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ind w:firstLine="420"/>
          </w:pPr>
          <w:r>
            <w:fldChar w:fldCharType="begin"/>
          </w:r>
          <w:r>
            <w:instrText xml:space="preserve"> HYPERLINK \l "_Toc44249578" </w:instrText>
          </w:r>
          <w:r>
            <w:fldChar w:fldCharType="separate"/>
          </w:r>
          <w:r>
            <w:rPr>
              <w:rStyle w:val="11"/>
            </w:rPr>
            <w:t>4</w:t>
          </w:r>
          <w:r>
            <w:rPr>
              <w:rStyle w:val="11"/>
              <w:rFonts w:hint="eastAsia"/>
            </w:rPr>
            <w:t>、参与竞价</w:t>
          </w:r>
          <w:r>
            <w:tab/>
          </w:r>
          <w:r>
            <w:fldChar w:fldCharType="begin"/>
          </w:r>
          <w:r>
            <w:instrText xml:space="preserve"> PAGEREF _Toc44249578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296"/>
            </w:tabs>
            <w:ind w:firstLine="420"/>
          </w:pPr>
          <w:r>
            <w:fldChar w:fldCharType="begin"/>
          </w:r>
          <w:r>
            <w:instrText xml:space="preserve"> HYPERLINK \l "_Toc44249579" </w:instrText>
          </w:r>
          <w:r>
            <w:fldChar w:fldCharType="separate"/>
          </w:r>
          <w:r>
            <w:rPr>
              <w:rStyle w:val="11"/>
              <w:rFonts w:hint="eastAsia"/>
            </w:rPr>
            <w:t>三、进入竞价系统</w:t>
          </w:r>
          <w:r>
            <w:tab/>
          </w:r>
          <w:r>
            <w:fldChar w:fldCharType="begin"/>
          </w:r>
          <w:r>
            <w:instrText xml:space="preserve"> PAGEREF _Toc44249579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ind w:firstLine="420"/>
          </w:pPr>
          <w:r>
            <w:fldChar w:fldCharType="begin"/>
          </w:r>
          <w:r>
            <w:instrText xml:space="preserve"> HYPERLINK \l "_Toc44249580" </w:instrText>
          </w:r>
          <w:r>
            <w:fldChar w:fldCharType="separate"/>
          </w:r>
          <w:r>
            <w:rPr>
              <w:rStyle w:val="11"/>
            </w:rPr>
            <w:t>1</w:t>
          </w:r>
          <w:r>
            <w:rPr>
              <w:rStyle w:val="11"/>
              <w:rFonts w:hint="eastAsia"/>
            </w:rPr>
            <w:t>、电子竞价风险告知及确认书</w:t>
          </w:r>
          <w:r>
            <w:tab/>
          </w:r>
          <w:r>
            <w:fldChar w:fldCharType="begin"/>
          </w:r>
          <w:r>
            <w:instrText xml:space="preserve"> PAGEREF _Toc44249580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ind w:firstLine="420"/>
          </w:pPr>
          <w:r>
            <w:fldChar w:fldCharType="begin"/>
          </w:r>
          <w:r>
            <w:instrText xml:space="preserve"> HYPERLINK \l "_Toc44249581" </w:instrText>
          </w:r>
          <w:r>
            <w:fldChar w:fldCharType="separate"/>
          </w:r>
          <w:r>
            <w:rPr>
              <w:rStyle w:val="11"/>
            </w:rPr>
            <w:t>2</w:t>
          </w:r>
          <w:r>
            <w:rPr>
              <w:rStyle w:val="11"/>
              <w:rFonts w:hint="eastAsia"/>
            </w:rPr>
            <w:t>、竞价项目信息</w:t>
          </w:r>
          <w:r>
            <w:tab/>
          </w:r>
          <w:r>
            <w:fldChar w:fldCharType="begin"/>
          </w:r>
          <w:r>
            <w:instrText xml:space="preserve"> PAGEREF _Toc44249581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296"/>
            </w:tabs>
            <w:ind w:firstLine="420"/>
          </w:pPr>
          <w:r>
            <w:fldChar w:fldCharType="begin"/>
          </w:r>
          <w:r>
            <w:instrText xml:space="preserve"> HYPERLINK \l "_Toc44249582" </w:instrText>
          </w:r>
          <w:r>
            <w:fldChar w:fldCharType="separate"/>
          </w:r>
          <w:r>
            <w:rPr>
              <w:rStyle w:val="11"/>
              <w:rFonts w:hint="eastAsia"/>
            </w:rPr>
            <w:t>四、竞价方式</w:t>
          </w:r>
          <w:r>
            <w:tab/>
          </w:r>
          <w:r>
            <w:fldChar w:fldCharType="begin"/>
          </w:r>
          <w:r>
            <w:instrText xml:space="preserve"> PAGEREF _Toc44249582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ind w:firstLine="420"/>
          </w:pPr>
          <w:r>
            <w:fldChar w:fldCharType="begin"/>
          </w:r>
          <w:r>
            <w:instrText xml:space="preserve"> HYPERLINK \l "_Toc44249583" </w:instrText>
          </w:r>
          <w:r>
            <w:fldChar w:fldCharType="separate"/>
          </w:r>
          <w:r>
            <w:rPr>
              <w:rStyle w:val="11"/>
            </w:rPr>
            <w:t>1</w:t>
          </w:r>
          <w:r>
            <w:rPr>
              <w:rStyle w:val="11"/>
              <w:rFonts w:hint="eastAsia"/>
            </w:rPr>
            <w:t>、一次性竞价</w:t>
          </w:r>
          <w:r>
            <w:tab/>
          </w:r>
          <w:r>
            <w:fldChar w:fldCharType="begin"/>
          </w:r>
          <w:r>
            <w:instrText xml:space="preserve"> PAGEREF _Toc44249583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ind w:firstLine="420"/>
          </w:pPr>
          <w:r>
            <w:fldChar w:fldCharType="begin"/>
          </w:r>
          <w:r>
            <w:instrText xml:space="preserve"> HYPERLINK \l "_Toc44249584" </w:instrText>
          </w:r>
          <w:r>
            <w:fldChar w:fldCharType="separate"/>
          </w:r>
          <w:r>
            <w:rPr>
              <w:rStyle w:val="11"/>
            </w:rPr>
            <w:t>2</w:t>
          </w:r>
          <w:r>
            <w:rPr>
              <w:rStyle w:val="11"/>
              <w:rFonts w:hint="eastAsia"/>
            </w:rPr>
            <w:t>、连续竞价</w:t>
          </w:r>
          <w:r>
            <w:tab/>
          </w:r>
          <w:r>
            <w:fldChar w:fldCharType="begin"/>
          </w:r>
          <w:r>
            <w:instrText xml:space="preserve"> PAGEREF _Toc44249584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ind w:firstLine="422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widowControl/>
        <w:spacing w:line="240" w:lineRule="auto"/>
        <w:ind w:firstLine="0" w:firstLineChars="0"/>
        <w:jc w:val="left"/>
      </w:pPr>
      <w:r>
        <w:br w:type="page"/>
      </w:r>
    </w:p>
    <w:p>
      <w:pPr>
        <w:pStyle w:val="2"/>
        <w:ind w:firstLine="199" w:firstLineChars="45"/>
      </w:pPr>
      <w:bookmarkStart w:id="0" w:name="_Toc44249571"/>
      <w:r>
        <w:rPr>
          <w:rFonts w:hint="eastAsia"/>
        </w:rPr>
        <w:t>一、系统登录</w:t>
      </w:r>
      <w:bookmarkEnd w:id="0"/>
    </w:p>
    <w:p>
      <w:pPr>
        <w:ind w:firstLine="420"/>
      </w:pPr>
      <w:r>
        <w:rPr>
          <w:rFonts w:hint="eastAsia"/>
        </w:rPr>
        <w:t>打开安徽（区域）公共资源交易电子服务系统网站（</w:t>
      </w:r>
      <w:r>
        <w:t>http://www.hfztb.cn/</w:t>
      </w:r>
      <w:r>
        <w:rPr>
          <w:rFonts w:hint="eastAsia"/>
        </w:rPr>
        <w:t>）进入电子服务系统登录页面。</w:t>
      </w: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  <w:bookmarkStart w:id="14" w:name="_GoBack"/>
    </w:p>
    <w:p>
      <w:pPr>
        <w:ind w:firstLine="420"/>
      </w:pPr>
    </w:p>
    <w:p>
      <w:pPr>
        <w:ind w:firstLine="420"/>
      </w:pPr>
    </w:p>
    <w:bookmarkEnd w:id="14"/>
    <w:p>
      <w:pPr>
        <w:ind w:firstLine="420"/>
      </w:pPr>
    </w:p>
    <w:p>
      <w:pPr>
        <w:ind w:firstLine="42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-2474595</wp:posOffset>
            </wp:positionV>
            <wp:extent cx="5274310" cy="2767330"/>
            <wp:effectExtent l="0" t="0" r="254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ind w:firstLine="643"/>
      </w:pPr>
      <w:bookmarkStart w:id="1" w:name="_Toc44249572"/>
      <w:r>
        <w:rPr>
          <w:rFonts w:hint="eastAsia"/>
        </w:rPr>
        <w:t>1、CA登录方式（企业）</w:t>
      </w:r>
      <w:bookmarkEnd w:id="1"/>
    </w:p>
    <w:p>
      <w:pPr>
        <w:ind w:firstLine="420"/>
      </w:pPr>
      <w:r>
        <w:rPr>
          <w:rFonts w:hint="eastAsia"/>
        </w:rPr>
        <w:t xml:space="preserve">点击页面上“驱动下载”按钮下载驱动后安装，安装完成后点击“我要投标”，输入CA锁密码及验证码，点击“登录”，登录系统。  </w:t>
      </w:r>
    </w:p>
    <w:p>
      <w:pPr>
        <w:ind w:firstLine="42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140970</wp:posOffset>
            </wp:positionV>
            <wp:extent cx="5274310" cy="2907665"/>
            <wp:effectExtent l="0" t="0" r="2540" b="698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  <w:r>
        <w:rPr>
          <w:rFonts w:hint="eastAsia"/>
        </w:rPr>
        <w:t xml:space="preserve"> </w:t>
      </w:r>
    </w:p>
    <w:p>
      <w:pPr>
        <w:pStyle w:val="3"/>
        <w:ind w:firstLine="643"/>
      </w:pPr>
      <w:bookmarkStart w:id="2" w:name="_Toc44249573"/>
      <w:r>
        <w:rPr>
          <w:rFonts w:hint="eastAsia"/>
        </w:rPr>
        <w:t>2、用户名密码登录方式（自然人）</w:t>
      </w:r>
      <w:bookmarkEnd w:id="2"/>
    </w:p>
    <w:p>
      <w:pPr>
        <w:ind w:firstLine="420"/>
      </w:pPr>
      <w:r>
        <w:rPr>
          <w:rFonts w:hint="eastAsia"/>
        </w:rPr>
        <w:t>用户点击“安徽政务服务网统一认证中心”进行注册登录。</w:t>
      </w:r>
    </w:p>
    <w:p>
      <w:pPr>
        <w:ind w:firstLine="420"/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80010</wp:posOffset>
            </wp:positionV>
            <wp:extent cx="5274310" cy="2755900"/>
            <wp:effectExtent l="0" t="0" r="2540" b="635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  <w:r>
        <w:drawing>
          <wp:inline distT="0" distB="0" distL="0" distR="0">
            <wp:extent cx="5274310" cy="25234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  <w:r>
        <w:drawing>
          <wp:inline distT="0" distB="0" distL="0" distR="0">
            <wp:extent cx="5274310" cy="262890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firstLine="199" w:firstLineChars="45"/>
      </w:pPr>
      <w:bookmarkStart w:id="3" w:name="_Toc44249574"/>
      <w:r>
        <w:rPr>
          <w:rFonts w:hint="eastAsia"/>
        </w:rPr>
        <w:t>二、项目操作</w:t>
      </w:r>
      <w:bookmarkEnd w:id="3"/>
    </w:p>
    <w:p>
      <w:pPr>
        <w:pStyle w:val="3"/>
        <w:ind w:firstLine="643"/>
      </w:pPr>
      <w:bookmarkStart w:id="4" w:name="_Toc44249575"/>
      <w:r>
        <w:rPr>
          <w:rFonts w:hint="eastAsia"/>
        </w:rPr>
        <w:t>1、选择项目</w:t>
      </w:r>
      <w:bookmarkEnd w:id="4"/>
    </w:p>
    <w:p>
      <w:pPr>
        <w:ind w:firstLine="420"/>
      </w:pPr>
      <w:r>
        <w:rPr>
          <w:rFonts w:hint="eastAsia"/>
        </w:rPr>
        <w:t>进入交易系统后，点击左上角的</w:t>
      </w:r>
      <w:r>
        <w:rPr>
          <w:rFonts w:hint="eastAsia"/>
          <w:highlight w:val="yellow"/>
        </w:rPr>
        <w:t>“农村产权”</w:t>
      </w:r>
      <w:r>
        <w:rPr>
          <w:rFonts w:hint="eastAsia"/>
        </w:rPr>
        <w:t>模块，主页上显示了所有当前公告中的项目。点击项目模块下的“我要参与”按钮进入项目工作台页面。</w:t>
      </w:r>
    </w:p>
    <w:p>
      <w:pPr>
        <w:ind w:firstLine="420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191770</wp:posOffset>
            </wp:positionV>
            <wp:extent cx="5270500" cy="2536190"/>
            <wp:effectExtent l="0" t="0" r="635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3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spacing w:line="240" w:lineRule="auto"/>
        <w:ind w:firstLine="643"/>
        <w:rPr>
          <w:rStyle w:val="14"/>
        </w:rPr>
      </w:pPr>
    </w:p>
    <w:p>
      <w:pPr>
        <w:spacing w:line="240" w:lineRule="auto"/>
        <w:ind w:firstLine="643"/>
        <w:rPr>
          <w:rStyle w:val="14"/>
        </w:rPr>
      </w:pPr>
    </w:p>
    <w:p>
      <w:pPr>
        <w:spacing w:line="240" w:lineRule="auto"/>
        <w:ind w:firstLine="643"/>
        <w:rPr>
          <w:rStyle w:val="14"/>
        </w:rPr>
      </w:pPr>
      <w:r>
        <w:rPr>
          <w:rStyle w:val="14"/>
          <w:rFonts w:hint="eastAsia"/>
        </w:rPr>
        <w:t xml:space="preserve"> </w:t>
      </w:r>
      <w:bookmarkStart w:id="5" w:name="_Toc44249576"/>
      <w:r>
        <w:rPr>
          <w:rStyle w:val="14"/>
          <w:rFonts w:hint="eastAsia"/>
        </w:rPr>
        <w:t>2、项目登记</w:t>
      </w:r>
      <w:bookmarkEnd w:id="5"/>
    </w:p>
    <w:p>
      <w:pPr>
        <w:ind w:firstLine="420"/>
      </w:pPr>
      <w:r>
        <w:rPr>
          <w:rFonts w:hint="eastAsia"/>
        </w:rPr>
        <w:t>点击项目登记并填写相关登记信息参加项目。</w:t>
      </w:r>
    </w:p>
    <w:p>
      <w:pPr>
        <w:spacing w:line="240" w:lineRule="auto"/>
        <w:ind w:firstLine="420"/>
      </w:pPr>
      <w:r>
        <w:t xml:space="preserve"> </w:t>
      </w:r>
      <w:r>
        <w:drawing>
          <wp:inline distT="0" distB="0" distL="0" distR="0">
            <wp:extent cx="5274310" cy="2251075"/>
            <wp:effectExtent l="0" t="0" r="2540" b="0"/>
            <wp:docPr id="10" name="图片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20"/>
      </w:pPr>
      <w:r>
        <w:t xml:space="preserve"> </w:t>
      </w:r>
      <w:r>
        <w:drawing>
          <wp:inline distT="0" distB="0" distL="0" distR="0">
            <wp:extent cx="5274310" cy="16840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643"/>
      </w:pPr>
      <w:bookmarkStart w:id="6" w:name="_Toc44249577"/>
      <w:r>
        <w:rPr>
          <w:rFonts w:hint="eastAsia"/>
        </w:rPr>
        <w:t>3、保证金查询</w:t>
      </w:r>
      <w:bookmarkEnd w:id="6"/>
    </w:p>
    <w:p>
      <w:pPr>
        <w:ind w:firstLine="420"/>
      </w:pPr>
      <w:r>
        <w:rPr>
          <w:rFonts w:hint="eastAsia"/>
        </w:rPr>
        <w:t>点击保证金查询页面查询保证金是否到账，查询成功就可以进行下一步竞价。</w:t>
      </w:r>
    </w:p>
    <w:p>
      <w:pPr>
        <w:pStyle w:val="3"/>
        <w:ind w:firstLine="643"/>
      </w:pPr>
      <w:bookmarkStart w:id="7" w:name="_Toc44249578"/>
      <w:r>
        <w:rPr>
          <w:rFonts w:hint="eastAsia"/>
        </w:rPr>
        <w:t>4、参与竞价</w:t>
      </w:r>
      <w:bookmarkEnd w:id="7"/>
    </w:p>
    <w:p>
      <w:pPr>
        <w:ind w:firstLine="420"/>
      </w:pPr>
      <w:r>
        <w:rPr>
          <w:rFonts w:hint="eastAsia"/>
        </w:rPr>
        <w:t>保证金查询成功后，点击进入竞价系统参与竞价。</w:t>
      </w:r>
    </w:p>
    <w:p>
      <w:pPr>
        <w:pStyle w:val="2"/>
        <w:ind w:firstLine="199" w:firstLineChars="45"/>
      </w:pPr>
      <w:bookmarkStart w:id="8" w:name="_Toc44249579"/>
      <w:r>
        <w:rPr>
          <w:rFonts w:hint="eastAsia"/>
        </w:rPr>
        <w:t>三、进入竞价系统</w:t>
      </w:r>
      <w:bookmarkEnd w:id="8"/>
    </w:p>
    <w:p>
      <w:pPr>
        <w:ind w:firstLine="420"/>
      </w:pPr>
      <w:r>
        <w:rPr>
          <w:rFonts w:hint="eastAsia"/>
        </w:rPr>
        <w:t>请使用IE10、IE11浏览器访问登录竞价系统，否则可能导致竞价异常。</w:t>
      </w:r>
    </w:p>
    <w:p>
      <w:pPr>
        <w:pStyle w:val="3"/>
        <w:ind w:firstLine="643"/>
      </w:pPr>
      <w:bookmarkStart w:id="9" w:name="_Toc44249580"/>
      <w:r>
        <w:rPr>
          <w:rFonts w:hint="eastAsia"/>
        </w:rPr>
        <w:t>1、电子竞价风险告知及确认书</w:t>
      </w:r>
      <w:bookmarkEnd w:id="9"/>
    </w:p>
    <w:p>
      <w:pPr>
        <w:ind w:firstLine="420"/>
      </w:pPr>
      <w:r>
        <w:rPr>
          <w:rFonts w:hint="eastAsia"/>
        </w:rPr>
        <w:t>阅读电子竞价风险告知及确认书后，选择已阅读，然后点击</w:t>
      </w:r>
      <w:r>
        <w:drawing>
          <wp:inline distT="0" distB="0" distL="0" distR="0">
            <wp:extent cx="971550" cy="2857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，进入竞价系统，如图：</w:t>
      </w:r>
    </w:p>
    <w:p>
      <w:pPr>
        <w:spacing w:line="240" w:lineRule="auto"/>
        <w:ind w:firstLine="420"/>
      </w:pPr>
      <w:r>
        <w:drawing>
          <wp:inline distT="0" distB="0" distL="0" distR="0">
            <wp:extent cx="5267325" cy="250507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643"/>
      </w:pPr>
      <w:bookmarkStart w:id="10" w:name="_Toc44249581"/>
      <w:r>
        <w:rPr>
          <w:rFonts w:hint="eastAsia"/>
        </w:rPr>
        <w:t>2、竞价项目信息</w:t>
      </w:r>
      <w:bookmarkEnd w:id="10"/>
    </w:p>
    <w:p>
      <w:pPr>
        <w:ind w:firstLine="420"/>
      </w:pPr>
      <w:r>
        <w:rPr>
          <w:rFonts w:hint="eastAsia"/>
        </w:rPr>
        <w:t>进入竞价系统后，可以看到正在进行中的竞价项目列表，如图：</w:t>
      </w:r>
    </w:p>
    <w:p>
      <w:pPr>
        <w:spacing w:line="240" w:lineRule="auto"/>
        <w:ind w:firstLine="420"/>
      </w:pPr>
      <w:r>
        <w:drawing>
          <wp:inline distT="0" distB="0" distL="0" distR="0">
            <wp:extent cx="5267325" cy="125730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199" w:firstLineChars="45"/>
      </w:pPr>
      <w:bookmarkStart w:id="11" w:name="_Toc44249582"/>
      <w:r>
        <w:rPr>
          <w:rFonts w:hint="eastAsia"/>
        </w:rPr>
        <w:t>四、竞价方式</w:t>
      </w:r>
      <w:bookmarkEnd w:id="11"/>
    </w:p>
    <w:p>
      <w:pPr>
        <w:pStyle w:val="3"/>
        <w:ind w:firstLine="643"/>
      </w:pPr>
      <w:bookmarkStart w:id="12" w:name="_Toc44249583"/>
      <w:r>
        <w:rPr>
          <w:rFonts w:hint="eastAsia"/>
        </w:rPr>
        <w:t>1、一次性竞价</w:t>
      </w:r>
      <w:bookmarkEnd w:id="12"/>
    </w:p>
    <w:p>
      <w:pPr>
        <w:ind w:firstLine="420"/>
      </w:pPr>
      <w:r>
        <w:rPr>
          <w:rFonts w:hint="eastAsia"/>
        </w:rPr>
        <w:t>竞价人填写有效的报价金额，录入成功之后可点击</w:t>
      </w:r>
      <w:r>
        <w:drawing>
          <wp:inline distT="0" distB="0" distL="0" distR="0">
            <wp:extent cx="899795" cy="434340"/>
            <wp:effectExtent l="0" t="0" r="0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904" cy="43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进行报价。在一次性竞价项目报价单开启时间倒计时结束前，竞价人若对之前的报价进行修改，需要重新输入报价金额点击</w:t>
      </w:r>
      <w:r>
        <w:drawing>
          <wp:inline distT="0" distB="0" distL="0" distR="0">
            <wp:extent cx="800100" cy="38544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8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，也可点击</w:t>
      </w:r>
      <w:r>
        <w:drawing>
          <wp:inline distT="0" distB="0" distL="0" distR="0">
            <wp:extent cx="876300" cy="42227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2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，对自己之前的报价进行撤回，如您在报价单开启前撤回了报价并未再次提交报价，则报价无效。如下图：</w:t>
      </w:r>
    </w:p>
    <w:p>
      <w:pPr>
        <w:spacing w:line="240" w:lineRule="auto"/>
        <w:ind w:firstLine="420"/>
      </w:pPr>
      <w:r>
        <w:drawing>
          <wp:inline distT="0" distB="0" distL="0" distR="0">
            <wp:extent cx="5267325" cy="2295525"/>
            <wp:effectExtent l="0" t="0" r="9525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在报价单开启前，各竞价人只能在报价区下方我的报价记录中查看到自己的报价记录，其他竞价人报价记录无法查看。</w:t>
      </w:r>
    </w:p>
    <w:p>
      <w:pPr>
        <w:spacing w:line="240" w:lineRule="auto"/>
        <w:ind w:firstLine="420"/>
      </w:pPr>
      <w:r>
        <w:drawing>
          <wp:inline distT="0" distB="0" distL="0" distR="0">
            <wp:extent cx="5267325" cy="2476500"/>
            <wp:effectExtent l="0" t="0" r="952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行使优先权：</w:t>
      </w:r>
    </w:p>
    <w:p>
      <w:pPr>
        <w:ind w:firstLine="420"/>
      </w:pPr>
      <w:r>
        <w:rPr>
          <w:rFonts w:hint="eastAsia"/>
        </w:rPr>
        <w:t>同等价格下，优先权人可在优先权行使期内行使优先权。优先权人须按照项目公告要求及时办理注册、登记及保证金缴纳手续，方可进入竞价系统行使优先权。优先权竞价人在报价单开启时间前只能查看，不能行使优先权。如下图：</w:t>
      </w:r>
    </w:p>
    <w:p>
      <w:pPr>
        <w:spacing w:line="240" w:lineRule="auto"/>
        <w:ind w:firstLine="420"/>
      </w:pPr>
      <w:r>
        <w:drawing>
          <wp:inline distT="0" distB="0" distL="0" distR="0">
            <wp:extent cx="5267325" cy="2266950"/>
            <wp:effectExtent l="0" t="0" r="9525" b="0"/>
            <wp:docPr id="28" name="图片 28" descr="说明: L0)V$P5CBQ32{K{L~EWFXS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说明: L0)V$P5CBQ32{K{L~EWFXSJ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若报价单开启后进入行使优先权倒计时内，优先权竞价人可看到其他竞价人报价及排名情况，并确认是否行使优先权，如下图：</w:t>
      </w:r>
    </w:p>
    <w:p>
      <w:pPr>
        <w:spacing w:line="240" w:lineRule="auto"/>
        <w:ind w:firstLine="420"/>
      </w:pPr>
      <w:r>
        <w:drawing>
          <wp:inline distT="0" distB="0" distL="0" distR="0">
            <wp:extent cx="5267325" cy="2324100"/>
            <wp:effectExtent l="0" t="0" r="952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若行使优先权，在点击行使优先权按钮后，会弹出竞价结束的信息，如下图所示：</w:t>
      </w:r>
    </w:p>
    <w:p>
      <w:pPr>
        <w:spacing w:line="240" w:lineRule="auto"/>
        <w:ind w:firstLine="420"/>
      </w:pPr>
      <w:r>
        <w:drawing>
          <wp:inline distT="0" distB="0" distL="0" distR="0">
            <wp:extent cx="5267325" cy="2171700"/>
            <wp:effectExtent l="0" t="0" r="952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20"/>
      </w:pPr>
      <w:r>
        <w:drawing>
          <wp:inline distT="0" distB="0" distL="0" distR="0">
            <wp:extent cx="5274310" cy="2513330"/>
            <wp:effectExtent l="0" t="0" r="2540" b="127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2"/>
        <w:rPr>
          <w:b/>
        </w:rPr>
      </w:pPr>
      <w:r>
        <w:rPr>
          <w:rFonts w:hint="eastAsia"/>
          <w:b/>
        </w:rPr>
        <w:t>优先权人逾期或者未按规定完成上述流程视同放弃优先权。</w:t>
      </w:r>
    </w:p>
    <w:p>
      <w:pPr>
        <w:ind w:firstLine="420"/>
      </w:pPr>
    </w:p>
    <w:p>
      <w:pPr>
        <w:ind w:firstLine="420"/>
      </w:pPr>
      <w:r>
        <w:rPr>
          <w:rFonts w:hint="eastAsia"/>
        </w:rPr>
        <w:t>竞价结束后，竞价人可从报价区查询其他竞价人有效报价。如下图：</w:t>
      </w:r>
    </w:p>
    <w:p>
      <w:pPr>
        <w:spacing w:line="240" w:lineRule="auto"/>
        <w:ind w:firstLine="420"/>
      </w:pPr>
      <w:r>
        <w:drawing>
          <wp:inline distT="0" distB="0" distL="0" distR="0">
            <wp:extent cx="5267325" cy="2324100"/>
            <wp:effectExtent l="0" t="0" r="952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一次性报价的规则及须知等内容请见公告。</w:t>
      </w:r>
    </w:p>
    <w:p>
      <w:pPr>
        <w:pStyle w:val="3"/>
        <w:ind w:firstLine="643"/>
      </w:pPr>
      <w:bookmarkStart w:id="13" w:name="_Toc44249584"/>
      <w:r>
        <w:rPr>
          <w:rFonts w:hint="eastAsia"/>
        </w:rPr>
        <w:t>2、连续竞价</w:t>
      </w:r>
      <w:bookmarkEnd w:id="13"/>
    </w:p>
    <w:p>
      <w:pPr>
        <w:ind w:firstLine="420"/>
      </w:pPr>
      <w:r>
        <w:rPr>
          <w:rFonts w:hint="eastAsia"/>
        </w:rPr>
        <w:t>进入竞价界面可查看到该竞价项目的相关信息，如“标的概要”区可了解项目详情包括竞价状态、结束时间、当前最高价格等信息，如下图：</w:t>
      </w:r>
    </w:p>
    <w:p>
      <w:pPr>
        <w:spacing w:line="240" w:lineRule="auto"/>
        <w:ind w:firstLine="420"/>
      </w:pPr>
      <w:r>
        <w:drawing>
          <wp:inline distT="0" distB="0" distL="0" distR="0">
            <wp:extent cx="5267325" cy="2295525"/>
            <wp:effectExtent l="0" t="0" r="9525" b="952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信息确认无误后竞价人即可进行报价，（1）竞价人在当前价格基础上直接点击“快速报价”，可以使竞价人直接提交高于当前最高报价一个竞价阶梯的报价，系统弹出确认窗口，确认后进行提交报价。（2）竞价人也可以在当前价格基础上选择竞价阶梯的整倍数，并点击“提交报价”，可以使竞价人提交高于当前最高报价一个或多个竞价阶梯的报价，系统弹出确认窗口，确认后进行提交报价。</w:t>
      </w:r>
      <w:r>
        <w:rPr>
          <w:rFonts w:hint="eastAsia"/>
          <w:b/>
        </w:rPr>
        <w:t>（注：竞价人一旦提交报价，不得撤回和修改）</w:t>
      </w:r>
    </w:p>
    <w:p>
      <w:pPr>
        <w:ind w:firstLine="420"/>
      </w:pPr>
      <w:r>
        <w:rPr>
          <w:rFonts w:hint="eastAsia"/>
        </w:rPr>
        <w:t>如下图：</w:t>
      </w:r>
    </w:p>
    <w:p>
      <w:pPr>
        <w:spacing w:line="240" w:lineRule="auto"/>
        <w:ind w:firstLine="420"/>
      </w:pPr>
      <w:r>
        <w:drawing>
          <wp:inline distT="0" distB="0" distL="0" distR="0">
            <wp:extent cx="5274310" cy="238950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竞价人可通过查看数据区内的信息，查询所有竞价人报价记录，如下图：</w:t>
      </w:r>
    </w:p>
    <w:p>
      <w:pPr>
        <w:spacing w:line="240" w:lineRule="auto"/>
        <w:ind w:firstLine="420"/>
      </w:pPr>
      <w:r>
        <w:drawing>
          <wp:inline distT="0" distB="0" distL="0" distR="0">
            <wp:extent cx="5267325" cy="2428875"/>
            <wp:effectExtent l="0" t="0" r="9525" b="95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延时竞价：</w:t>
      </w:r>
    </w:p>
    <w:p>
      <w:pPr>
        <w:ind w:firstLine="420"/>
      </w:pPr>
      <w:r>
        <w:rPr>
          <w:rFonts w:hint="eastAsia"/>
        </w:rPr>
        <w:t>自由竞价结束后进入延时竞价：在延时竞价时间内，各竞价人进行延时竞价，请竞价人注意 “延时竞价结束时间倒计时”，延时竞价周期内如出现有效报价，则进入新的延时竞价周期；在一个延时竞价周期内如未出现有效报价，则报价结束。延时竞价结束时间如下图：</w:t>
      </w:r>
    </w:p>
    <w:p>
      <w:pPr>
        <w:spacing w:line="240" w:lineRule="auto"/>
        <w:ind w:firstLine="420"/>
      </w:pPr>
      <w:r>
        <w:drawing>
          <wp:inline distT="0" distB="0" distL="0" distR="0">
            <wp:extent cx="5267325" cy="2381250"/>
            <wp:effectExtent l="0" t="0" r="952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在竞价期间竞价人可查看下方区域数据区，查看所有报价记录信息，如下图：</w:t>
      </w:r>
    </w:p>
    <w:p>
      <w:pPr>
        <w:spacing w:line="240" w:lineRule="auto"/>
        <w:ind w:firstLine="420"/>
      </w:pPr>
      <w:r>
        <w:drawing>
          <wp:inline distT="0" distB="0" distL="0" distR="0">
            <wp:extent cx="5267325" cy="2419350"/>
            <wp:effectExtent l="0" t="0" r="952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行使优先权：</w:t>
      </w:r>
    </w:p>
    <w:p>
      <w:pPr>
        <w:ind w:firstLine="420"/>
      </w:pPr>
      <w:r>
        <w:rPr>
          <w:rFonts w:hint="eastAsia"/>
        </w:rPr>
        <w:t>同等价格下，优先权人可在竞价期行使优先权。优先权人须按照项目公告要求及时办理注册、登记及保证金缴纳手续，方可进入竞价系统行使优先权。</w:t>
      </w:r>
    </w:p>
    <w:p>
      <w:pPr>
        <w:spacing w:line="240" w:lineRule="auto"/>
        <w:ind w:firstLine="420"/>
      </w:pPr>
      <w:r>
        <w:rPr>
          <w:rFonts w:hint="eastAsia"/>
        </w:rPr>
        <w:t>优先权竞价人可通过点击</w:t>
      </w:r>
      <w:r>
        <w:drawing>
          <wp:inline distT="0" distB="0" distL="0" distR="0">
            <wp:extent cx="1924050" cy="7239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按钮，如下图：</w:t>
      </w:r>
    </w:p>
    <w:p>
      <w:pPr>
        <w:spacing w:line="240" w:lineRule="auto"/>
        <w:ind w:firstLine="420"/>
      </w:pPr>
      <w:r>
        <w:drawing>
          <wp:inline distT="0" distB="0" distL="0" distR="0">
            <wp:extent cx="5274310" cy="2141855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20"/>
      </w:pPr>
      <w:r>
        <w:drawing>
          <wp:inline distT="0" distB="0" distL="0" distR="0">
            <wp:extent cx="5267325" cy="2438400"/>
            <wp:effectExtent l="0" t="0" r="9525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20"/>
      </w:pPr>
      <w:r>
        <w:rPr>
          <w:rFonts w:hint="eastAsia"/>
        </w:rPr>
        <w:t>点击</w:t>
      </w:r>
      <w:r>
        <w:drawing>
          <wp:inline distT="0" distB="0" distL="0" distR="0">
            <wp:extent cx="1790700" cy="619125"/>
            <wp:effectExtent l="0" t="0" r="0" b="952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即以当前最高报价获得优先权。</w:t>
      </w:r>
    </w:p>
    <w:p>
      <w:pPr>
        <w:pStyle w:val="15"/>
        <w:ind w:firstLine="422"/>
        <w:rPr>
          <w:b/>
        </w:rPr>
      </w:pPr>
      <w:r>
        <w:rPr>
          <w:rFonts w:hint="eastAsia"/>
          <w:b/>
        </w:rPr>
        <w:t>优先权人逾期或者未按规定完成上述流程视同放弃优先权。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3656470"/>
      <w:docPartObj>
        <w:docPartGallery w:val="AutoText"/>
      </w:docPartObj>
    </w:sdtPr>
    <w:sdtContent>
      <w:p>
        <w:pPr>
          <w:pStyle w:val="5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Y2NmZWJjYWM2YjFjMjI1YzQ4MjEzZmUzZWEwN2MifQ=="/>
  </w:docVars>
  <w:rsids>
    <w:rsidRoot w:val="001B37F7"/>
    <w:rsid w:val="000755F6"/>
    <w:rsid w:val="000974FF"/>
    <w:rsid w:val="000B0977"/>
    <w:rsid w:val="001A196B"/>
    <w:rsid w:val="001B37F7"/>
    <w:rsid w:val="002438A3"/>
    <w:rsid w:val="00285121"/>
    <w:rsid w:val="0029235A"/>
    <w:rsid w:val="002E3DF9"/>
    <w:rsid w:val="00354E80"/>
    <w:rsid w:val="003F31BD"/>
    <w:rsid w:val="004F00FE"/>
    <w:rsid w:val="00573991"/>
    <w:rsid w:val="00594AF6"/>
    <w:rsid w:val="005D2CC7"/>
    <w:rsid w:val="005F0A05"/>
    <w:rsid w:val="00726AA3"/>
    <w:rsid w:val="00727389"/>
    <w:rsid w:val="00820F78"/>
    <w:rsid w:val="00894CA3"/>
    <w:rsid w:val="009C37D5"/>
    <w:rsid w:val="00A53C64"/>
    <w:rsid w:val="00AE531B"/>
    <w:rsid w:val="00B11D47"/>
    <w:rsid w:val="00B24F11"/>
    <w:rsid w:val="00BF71D5"/>
    <w:rsid w:val="00CC058E"/>
    <w:rsid w:val="00D57316"/>
    <w:rsid w:val="00D6697D"/>
    <w:rsid w:val="00E0677A"/>
    <w:rsid w:val="00E40F5C"/>
    <w:rsid w:val="00EE2D0D"/>
    <w:rsid w:val="00EF7004"/>
    <w:rsid w:val="0B44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autoRedefine/>
    <w:qFormat/>
    <w:uiPriority w:val="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autoRedefine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unhideWhenUsed/>
    <w:qFormat/>
    <w:uiPriority w:val="39"/>
  </w:style>
  <w:style w:type="paragraph" w:styleId="8">
    <w:name w:val="toc 2"/>
    <w:basedOn w:val="1"/>
    <w:next w:val="1"/>
    <w:autoRedefine/>
    <w:unhideWhenUsed/>
    <w:uiPriority w:val="39"/>
    <w:pPr>
      <w:ind w:left="420" w:leftChars="200"/>
    </w:pPr>
  </w:style>
  <w:style w:type="character" w:styleId="11">
    <w:name w:val="Hyperlink"/>
    <w:basedOn w:val="10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批注框文本 Char"/>
    <w:basedOn w:val="10"/>
    <w:link w:val="4"/>
    <w:semiHidden/>
    <w:uiPriority w:val="99"/>
    <w:rPr>
      <w:sz w:val="18"/>
      <w:szCs w:val="18"/>
    </w:rPr>
  </w:style>
  <w:style w:type="character" w:customStyle="1" w:styleId="13">
    <w:name w:val="标题 1 Char"/>
    <w:basedOn w:val="10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14">
    <w:name w:val="标题 2 Char"/>
    <w:basedOn w:val="10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5">
    <w:name w:val="No Spacing"/>
    <w:link w:val="19"/>
    <w:autoRedefine/>
    <w:qFormat/>
    <w:uiPriority w:val="1"/>
    <w:pPr>
      <w:widowControl w:val="0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ind w:firstLine="0" w:firstLineChars="0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7">
    <w:name w:val="页眉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8">
    <w:name w:val="页脚 Char"/>
    <w:basedOn w:val="10"/>
    <w:link w:val="5"/>
    <w:autoRedefine/>
    <w:qFormat/>
    <w:uiPriority w:val="99"/>
    <w:rPr>
      <w:sz w:val="18"/>
      <w:szCs w:val="18"/>
    </w:rPr>
  </w:style>
  <w:style w:type="character" w:customStyle="1" w:styleId="19">
    <w:name w:val="无间隔 Char"/>
    <w:basedOn w:val="10"/>
    <w:link w:val="15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2" Type="http://schemas.openxmlformats.org/officeDocument/2006/relationships/fontTable" Target="fontTable.xml"/><Relationship Id="rId41" Type="http://schemas.openxmlformats.org/officeDocument/2006/relationships/customXml" Target="../customXml/item1.xml"/><Relationship Id="rId40" Type="http://schemas.openxmlformats.org/officeDocument/2006/relationships/image" Target="media/image29.png"/><Relationship Id="rId4" Type="http://schemas.openxmlformats.org/officeDocument/2006/relationships/endnotes" Target="endnotes.xml"/><Relationship Id="rId39" Type="http://schemas.openxmlformats.org/officeDocument/2006/relationships/image" Target="media/image28.png"/><Relationship Id="rId38" Type="http://schemas.openxmlformats.org/officeDocument/2006/relationships/image" Target="media/image27.png"/><Relationship Id="rId37" Type="http://schemas.openxmlformats.org/officeDocument/2006/relationships/image" Target="media/image26.png"/><Relationship Id="rId36" Type="http://schemas.openxmlformats.org/officeDocument/2006/relationships/image" Target="media/image25.pn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99D7F-8288-49AD-97A6-2E1D7607D4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14</Pages>
  <Words>417</Words>
  <Characters>2381</Characters>
  <Lines>19</Lines>
  <Paragraphs>5</Paragraphs>
  <TotalTime>2</TotalTime>
  <ScaleCrop>false</ScaleCrop>
  <LinksUpToDate>false</LinksUpToDate>
  <CharactersWithSpaces>2793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2021-02-07T05:33:00Z</dcterms:created>
  <dc:creator>hfztb</dc:creator>
  <cp:lastModifiedBy>洪伟</cp:lastModifiedBy>
  <cp:lastPrinted>2021-02-07T04:57:00Z</cp:lastPrinted>
  <dcterms:modified xsi:type="dcterms:W3CDTF">2026-01-05T07:57:33Z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5C56650BB98D48CC8C58C7520FDAC451_12</vt:lpwstr>
  </property>
</Properties>
</file>