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576E9">
      <w:pPr>
        <w:keepNext w:val="0"/>
        <w:keepLines w:val="0"/>
        <w:pageBreakBefore w:val="0"/>
        <w:widowControl/>
        <w:kinsoku/>
        <w:overflowPunct/>
        <w:topLinePunct w:val="0"/>
        <w:autoSpaceDE/>
        <w:autoSpaceDN/>
        <w:bidi w:val="0"/>
        <w:adjustRightInd/>
        <w:snapToGrid/>
        <w:spacing w:line="400" w:lineRule="atLeast"/>
        <w:jc w:val="left"/>
        <w:textAlignment w:val="auto"/>
        <w:rPr>
          <w:rFonts w:hint="eastAsia" w:asciiTheme="minorEastAsia" w:hAnsiTheme="minorEastAsia" w:eastAsiaTheme="minorEastAsia" w:cstheme="minorEastAsia"/>
          <w:color w:val="auto"/>
          <w:kern w:val="0"/>
          <w:sz w:val="30"/>
          <w:szCs w:val="30"/>
          <w:shd w:val="clear" w:color="auto" w:fill="auto"/>
        </w:rPr>
      </w:pPr>
      <w:r>
        <w:rPr>
          <w:rFonts w:hint="eastAsia" w:asciiTheme="minorEastAsia" w:hAnsiTheme="minorEastAsia" w:eastAsiaTheme="minorEastAsia" w:cstheme="minorEastAsia"/>
          <w:color w:val="auto"/>
          <w:kern w:val="0"/>
          <w:sz w:val="30"/>
          <w:szCs w:val="30"/>
          <w:shd w:val="clear" w:color="auto" w:fill="auto"/>
        </w:rPr>
        <w:t>附件</w:t>
      </w:r>
      <w:r>
        <w:rPr>
          <w:rFonts w:hint="eastAsia" w:asciiTheme="minorEastAsia" w:hAnsiTheme="minorEastAsia" w:eastAsiaTheme="minorEastAsia" w:cstheme="minorEastAsia"/>
          <w:color w:val="auto"/>
          <w:kern w:val="0"/>
          <w:sz w:val="30"/>
          <w:szCs w:val="30"/>
          <w:shd w:val="clear" w:color="auto" w:fill="auto"/>
          <w:lang w:val="en-US" w:eastAsia="zh-CN"/>
        </w:rPr>
        <w:t>1</w:t>
      </w:r>
      <w:r>
        <w:rPr>
          <w:rFonts w:hint="eastAsia" w:asciiTheme="minorEastAsia" w:hAnsiTheme="minorEastAsia" w:eastAsiaTheme="minorEastAsia" w:cstheme="minorEastAsia"/>
          <w:color w:val="auto"/>
          <w:kern w:val="0"/>
          <w:sz w:val="30"/>
          <w:szCs w:val="30"/>
          <w:shd w:val="clear" w:color="auto" w:fill="auto"/>
        </w:rPr>
        <w:t>：</w:t>
      </w:r>
    </w:p>
    <w:p w14:paraId="2A1A07C0">
      <w:pPr>
        <w:widowControl/>
        <w:jc w:val="center"/>
        <w:rPr>
          <w:rFonts w:hint="eastAsia" w:asciiTheme="majorEastAsia" w:hAnsiTheme="majorEastAsia" w:eastAsiaTheme="majorEastAsia" w:cstheme="majorEastAsia"/>
          <w:b w:val="0"/>
          <w:bCs w:val="0"/>
          <w:kern w:val="0"/>
          <w:sz w:val="32"/>
          <w:szCs w:val="32"/>
        </w:rPr>
      </w:pPr>
      <w:r>
        <w:rPr>
          <w:rFonts w:hint="eastAsia" w:asciiTheme="majorEastAsia" w:hAnsiTheme="majorEastAsia" w:eastAsiaTheme="majorEastAsia" w:cstheme="majorEastAsia"/>
          <w:b w:val="0"/>
          <w:bCs w:val="0"/>
          <w:kern w:val="0"/>
          <w:sz w:val="32"/>
          <w:szCs w:val="32"/>
        </w:rPr>
        <w:t>网络一次性报价须知</w:t>
      </w:r>
    </w:p>
    <w:p w14:paraId="270C608F">
      <w:pPr>
        <w:widowControl/>
        <w:ind w:firstLine="640"/>
        <w:rPr>
          <w:kern w:val="0"/>
          <w:szCs w:val="21"/>
        </w:rPr>
      </w:pPr>
      <w:r>
        <w:rPr>
          <w:kern w:val="0"/>
          <w:szCs w:val="21"/>
        </w:rPr>
        <w:t> </w:t>
      </w:r>
    </w:p>
    <w:p w14:paraId="2405360F">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1.本项目采取网络一次性报价、最高报价者得的方式确定成交人。本项目所称的网络一次性报价是指获得竞价资格的意向方依据相关约定通过电子竞价系统进行一次性报价，并最终确定成交人。</w:t>
      </w:r>
    </w:p>
    <w:p w14:paraId="5601096E">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2.网络一次性报价方式适用于1家及1家以上合格意向方参与的竞价项目。</w:t>
      </w:r>
    </w:p>
    <w:p w14:paraId="7BEEBF96">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3.意向方进入竞价系统进行报价，即视为接受安徽省农村综合产权交易所就本项目发布的公告（包括附件及变更公告）、《产权交易操作手册》及其他形式通知的全部内容并无异议。</w:t>
      </w:r>
    </w:p>
    <w:p w14:paraId="03DAAA80">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kern w:val="0"/>
          <w:sz w:val="24"/>
          <w:szCs w:val="24"/>
        </w:rPr>
        <w:t>4.</w:t>
      </w:r>
      <w:r>
        <w:rPr>
          <w:rFonts w:hint="eastAsia" w:asciiTheme="minorEastAsia" w:hAnsiTheme="minorEastAsia" w:eastAsiaTheme="minorEastAsia" w:cstheme="minorEastAsia"/>
          <w:b/>
          <w:bCs/>
          <w:kern w:val="0"/>
          <w:sz w:val="24"/>
          <w:szCs w:val="24"/>
        </w:rPr>
        <w:t>本次竞价活动由一次性报价期及优先权行使期组成。</w:t>
      </w:r>
    </w:p>
    <w:p w14:paraId="2A17460D">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5.报价流程</w:t>
      </w:r>
    </w:p>
    <w:p w14:paraId="6A0E1DED">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（1）一次性报价期内意向方可以填写己方对意向标的心理价位，报价不得低于公告底价。</w:t>
      </w:r>
    </w:p>
    <w:p w14:paraId="71F52544">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（2）意向方在一次性报价期内可以撤回和修改己方报价。最终价格以意向方最后一次提交报价为准，修改前的报价及撤回报价为无效报价。</w:t>
      </w:r>
    </w:p>
    <w:p w14:paraId="179B9200">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一次性报价期一旦结束，意向方不得再修改、撤回、提交报价。一次性报价期结束后，系统将向所有意向方公开全部最终报价。意向方须谨慎报价，所报价格须合理且具有足够竞争性。意向方不得以报价填写错误、未及时提交报价等原因否认最终报价结果。</w:t>
      </w:r>
    </w:p>
    <w:p w14:paraId="63D86197">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（4）如该竞价标的无优先权人，一次性报价结束后将以价格优先、时间优先的原则确定成交人，竞价结束。</w:t>
      </w:r>
    </w:p>
    <w:p w14:paraId="3D22C454">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kern w:val="0"/>
          <w:sz w:val="24"/>
          <w:szCs w:val="24"/>
        </w:rPr>
        <w:t>（5）</w:t>
      </w:r>
      <w:r>
        <w:rPr>
          <w:rFonts w:hint="eastAsia" w:asciiTheme="minorEastAsia" w:hAnsiTheme="minorEastAsia" w:eastAsiaTheme="minorEastAsia" w:cstheme="minorEastAsia"/>
          <w:b/>
          <w:bCs/>
          <w:kern w:val="0"/>
          <w:sz w:val="24"/>
          <w:szCs w:val="24"/>
        </w:rPr>
        <w:t>如该竞价标的存在优先权人，则系统进入优先权行使期：</w:t>
      </w:r>
    </w:p>
    <w:p w14:paraId="2C8E2427">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A．如一次性报价期内有意向方报价，优先权人一旦行使了优先权，则优先权人以当前系统最高报价确定为成交人，竞价结束；如优先权人在优先权行使期内未行使优先权，则按照价格优先、时间优先的原则确定成交人，竞价结束。</w:t>
      </w:r>
    </w:p>
    <w:p w14:paraId="67CFC431">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B．如一次性报价期内无意向方报价，优先权人一旦行使了优先权，则优先购买权人以标的底价确定为成交人。如优先权人在优先权行使期内未行使优先权，则项目流标。</w:t>
      </w:r>
    </w:p>
    <w:p w14:paraId="65A87696">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（6）优先权人一旦行使优先权，不得撤回。</w:t>
      </w:r>
    </w:p>
    <w:p w14:paraId="44F0D65E">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注：价格优先、时间优先的原则是指最终最高报价有且仅有一人的，则确定该竞价人为成交人；如最终最高报价不少于两人的，则按照提交报价时间先后顺序，确定提交最终最高报价时间最早的竞价人为成交人。</w:t>
      </w:r>
    </w:p>
    <w:p w14:paraId="2D281126">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6. 结果确认。竞价结束后状态变为“竞价结束”，本次报价结束，可以通过电子竞价系统查看报价结果。竞价结束且无异常情况，安徽省农村综合产权交易所将对本次竞价结果进行核查，竞价结果仅作为成交依据，最终成交结果以</w:t>
      </w:r>
      <w:r>
        <w:rPr>
          <w:rFonts w:hint="eastAsia" w:asciiTheme="minorEastAsia" w:hAnsiTheme="minorEastAsia" w:eastAsiaTheme="minorEastAsia" w:cstheme="minorEastAsia"/>
          <w:kern w:val="0"/>
          <w:sz w:val="24"/>
          <w:szCs w:val="24"/>
          <w:lang w:eastAsia="zh-CN"/>
        </w:rPr>
        <w:t>结果公告</w:t>
      </w:r>
      <w:r>
        <w:rPr>
          <w:rFonts w:hint="eastAsia" w:asciiTheme="minorEastAsia" w:hAnsiTheme="minorEastAsia" w:eastAsiaTheme="minorEastAsia" w:cstheme="minorEastAsia"/>
          <w:kern w:val="0"/>
          <w:sz w:val="24"/>
          <w:szCs w:val="24"/>
        </w:rPr>
        <w:t>为准。</w:t>
      </w:r>
    </w:p>
    <w:p w14:paraId="5C229DD0">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 意向方应认真填写注册、登记信息并应及时修改初始密码（若有），对自己的账户信息保密。出现下列情形之一的，由意向方自行承担责任。</w:t>
      </w:r>
    </w:p>
    <w:p w14:paraId="63EBCDAE">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（1）如因意向方所填写的信息不真实、不准确或不完整而造成其无法参与竞价或无法行使优先权；</w:t>
      </w:r>
    </w:p>
    <w:p w14:paraId="515FA65B">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（2）因意向方原因导致其账户信息泄露而造成的不良后果；</w:t>
      </w:r>
    </w:p>
    <w:p w14:paraId="52BF44C4">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（3）因意向方自身终端设备和网络异常等原因导致无法正常竞价。</w:t>
      </w:r>
    </w:p>
    <w:p w14:paraId="4F4AABE3">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highlight w:val="yellow"/>
        </w:rPr>
      </w:pPr>
      <w:r>
        <w:rPr>
          <w:rFonts w:hint="eastAsia" w:asciiTheme="minorEastAsia" w:hAnsiTheme="minorEastAsia" w:eastAsiaTheme="minorEastAsia" w:cstheme="minorEastAsia"/>
          <w:kern w:val="0"/>
          <w:sz w:val="24"/>
          <w:szCs w:val="24"/>
          <w:highlight w:val="yellow"/>
        </w:rPr>
        <w:t>8.出现以下情形之一的，安徽省农村综合产权交易所有权中止项目。由此产生的网络报价结果，安徽省农村综合产权交易所将不予确认，且不承担任何法律责任。</w:t>
      </w:r>
    </w:p>
    <w:p w14:paraId="28B6DEFF">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highlight w:val="yellow"/>
        </w:rPr>
      </w:pPr>
      <w:r>
        <w:rPr>
          <w:rFonts w:hint="eastAsia" w:asciiTheme="minorEastAsia" w:hAnsiTheme="minorEastAsia" w:eastAsiaTheme="minorEastAsia" w:cstheme="minorEastAsia"/>
          <w:kern w:val="0"/>
          <w:sz w:val="24"/>
          <w:szCs w:val="24"/>
          <w:highlight w:val="yellow"/>
        </w:rPr>
        <w:t>（1）因不可抗力因素，造成电子竞价系统无法正常运行的；</w:t>
      </w:r>
    </w:p>
    <w:p w14:paraId="5F491769">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highlight w:val="yellow"/>
        </w:rPr>
      </w:pPr>
      <w:r>
        <w:rPr>
          <w:rFonts w:hint="eastAsia" w:asciiTheme="minorEastAsia" w:hAnsiTheme="minorEastAsia" w:eastAsiaTheme="minorEastAsia" w:cstheme="minorEastAsia"/>
          <w:kern w:val="0"/>
          <w:sz w:val="24"/>
          <w:szCs w:val="24"/>
          <w:highlight w:val="yellow"/>
        </w:rPr>
        <w:t>（2）由于电子竞价系统服务器受到攻击、通讯网络故障、系统设备故障等原因而造成的服务中断或延迟；</w:t>
      </w:r>
    </w:p>
    <w:p w14:paraId="7FFD54D1">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highlight w:val="yellow"/>
          <w:lang w:val="en-US" w:eastAsia="zh-CN"/>
        </w:rPr>
      </w:pPr>
      <w:r>
        <w:rPr>
          <w:rFonts w:hint="eastAsia" w:asciiTheme="minorEastAsia" w:hAnsiTheme="minorEastAsia" w:eastAsiaTheme="minorEastAsia" w:cstheme="minorEastAsia"/>
          <w:kern w:val="0"/>
          <w:sz w:val="24"/>
          <w:szCs w:val="24"/>
          <w:highlight w:val="yellow"/>
        </w:rPr>
        <w:t>（3）</w:t>
      </w:r>
      <w:r>
        <w:rPr>
          <w:rFonts w:hint="eastAsia" w:asciiTheme="minorEastAsia" w:hAnsiTheme="minorEastAsia" w:eastAsiaTheme="minorEastAsia" w:cstheme="minorEastAsia"/>
          <w:kern w:val="0"/>
          <w:sz w:val="24"/>
          <w:szCs w:val="24"/>
          <w:highlight w:val="yellow"/>
          <w:lang w:val="en-US" w:eastAsia="zh-CN"/>
        </w:rPr>
        <w:t>由于</w:t>
      </w:r>
      <w:r>
        <w:rPr>
          <w:rFonts w:hint="eastAsia" w:asciiTheme="minorEastAsia" w:hAnsiTheme="minorEastAsia" w:eastAsiaTheme="minorEastAsia" w:cstheme="minorEastAsia"/>
          <w:kern w:val="0"/>
          <w:sz w:val="24"/>
          <w:szCs w:val="24"/>
          <w:highlight w:val="yellow"/>
        </w:rPr>
        <w:t>安徽省农村综合产权交易所</w:t>
      </w:r>
      <w:r>
        <w:rPr>
          <w:rFonts w:hint="eastAsia" w:asciiTheme="minorEastAsia" w:hAnsiTheme="minorEastAsia" w:eastAsiaTheme="minorEastAsia" w:cstheme="minorEastAsia"/>
          <w:kern w:val="0"/>
          <w:sz w:val="24"/>
          <w:szCs w:val="24"/>
          <w:highlight w:val="yellow"/>
          <w:lang w:val="en-US" w:eastAsia="zh-CN"/>
        </w:rPr>
        <w:t>原因（包括但不限于交易系统原因、工作人员失误）导致交易无法正常进行或影响公平公正交易的。</w:t>
      </w:r>
    </w:p>
    <w:p w14:paraId="02CF54ED">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highlight w:val="yellow"/>
        </w:rPr>
      </w:pPr>
      <w:r>
        <w:rPr>
          <w:rFonts w:hint="eastAsia" w:asciiTheme="minorEastAsia" w:hAnsiTheme="minorEastAsia" w:eastAsiaTheme="minorEastAsia" w:cstheme="minorEastAsia"/>
          <w:kern w:val="0"/>
          <w:sz w:val="24"/>
          <w:szCs w:val="24"/>
          <w:highlight w:val="yellow"/>
        </w:rPr>
        <w:t>（4）《合肥市产权交易中止和终结交易操作细则》规定中止交易的其他情形；</w:t>
      </w:r>
      <w:bookmarkStart w:id="0" w:name="_GoBack"/>
      <w:bookmarkEnd w:id="0"/>
    </w:p>
    <w:p w14:paraId="1477C6EA">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highlight w:val="yellow"/>
        </w:rPr>
      </w:pPr>
      <w:r>
        <w:rPr>
          <w:rFonts w:hint="eastAsia" w:asciiTheme="minorEastAsia" w:hAnsiTheme="minorEastAsia" w:eastAsiaTheme="minorEastAsia" w:cstheme="minorEastAsia"/>
          <w:kern w:val="0"/>
          <w:sz w:val="24"/>
          <w:szCs w:val="24"/>
          <w:highlight w:val="yellow"/>
        </w:rPr>
        <w:t xml:space="preserve">（5）需要中止网络竞价活动的其他情形。 </w:t>
      </w:r>
    </w:p>
    <w:p w14:paraId="7E96D188">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highlight w:val="yellow"/>
        </w:rPr>
      </w:pPr>
      <w:r>
        <w:rPr>
          <w:rFonts w:hint="eastAsia" w:asciiTheme="minorEastAsia" w:hAnsiTheme="minorEastAsia" w:eastAsiaTheme="minorEastAsia" w:cstheme="minorEastAsia"/>
          <w:kern w:val="0"/>
          <w:sz w:val="24"/>
          <w:szCs w:val="24"/>
          <w:highlight w:val="yellow"/>
          <w:lang w:val="en-US" w:eastAsia="zh-CN"/>
        </w:rPr>
        <w:t>9.</w:t>
      </w:r>
      <w:r>
        <w:rPr>
          <w:rFonts w:hint="eastAsia" w:asciiTheme="minorEastAsia" w:hAnsiTheme="minorEastAsia" w:eastAsiaTheme="minorEastAsia" w:cstheme="minorEastAsia"/>
          <w:kern w:val="0"/>
          <w:sz w:val="24"/>
          <w:szCs w:val="24"/>
          <w:highlight w:val="yellow"/>
        </w:rPr>
        <w:t>出现以下情形之一的，安徽省农村综合产权交易所</w:t>
      </w:r>
      <w:r>
        <w:rPr>
          <w:rFonts w:hint="eastAsia" w:asciiTheme="minorEastAsia" w:hAnsiTheme="minorEastAsia" w:eastAsiaTheme="minorEastAsia" w:cstheme="minorEastAsia"/>
          <w:kern w:val="0"/>
          <w:sz w:val="24"/>
          <w:szCs w:val="24"/>
          <w:highlight w:val="yellow"/>
          <w:lang w:val="en-US" w:eastAsia="zh-CN"/>
        </w:rPr>
        <w:t>可以依据申请人的申请或根据具体情况直接终结</w:t>
      </w:r>
      <w:r>
        <w:rPr>
          <w:rFonts w:hint="eastAsia" w:asciiTheme="minorEastAsia" w:hAnsiTheme="minorEastAsia" w:eastAsiaTheme="minorEastAsia" w:cstheme="minorEastAsia"/>
          <w:kern w:val="0"/>
          <w:sz w:val="24"/>
          <w:szCs w:val="24"/>
          <w:highlight w:val="yellow"/>
        </w:rPr>
        <w:t>项目。由此产生的网络报价结果，安徽省农村综合产权交易所将不予确认，且不承担任何法律责任。</w:t>
      </w:r>
    </w:p>
    <w:p w14:paraId="2FC27143">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highlight w:val="yellow"/>
          <w:lang w:val="en-US" w:eastAsia="zh-CN"/>
        </w:rPr>
      </w:pPr>
      <w:r>
        <w:rPr>
          <w:rFonts w:hint="eastAsia" w:asciiTheme="minorEastAsia" w:hAnsiTheme="minorEastAsia" w:eastAsiaTheme="minorEastAsia" w:cstheme="minorEastAsia"/>
          <w:kern w:val="0"/>
          <w:sz w:val="24"/>
          <w:szCs w:val="24"/>
          <w:highlight w:val="yellow"/>
          <w:lang w:eastAsia="zh-CN"/>
        </w:rPr>
        <w:t>（</w:t>
      </w:r>
      <w:r>
        <w:rPr>
          <w:rFonts w:hint="eastAsia" w:asciiTheme="minorEastAsia" w:hAnsiTheme="minorEastAsia" w:eastAsiaTheme="minorEastAsia" w:cstheme="minorEastAsia"/>
          <w:kern w:val="0"/>
          <w:sz w:val="24"/>
          <w:szCs w:val="24"/>
          <w:highlight w:val="yellow"/>
          <w:lang w:val="en-US" w:eastAsia="zh-CN"/>
        </w:rPr>
        <w:t>1</w:t>
      </w:r>
      <w:r>
        <w:rPr>
          <w:rFonts w:hint="eastAsia" w:asciiTheme="minorEastAsia" w:hAnsiTheme="minorEastAsia" w:eastAsiaTheme="minorEastAsia" w:cstheme="minorEastAsia"/>
          <w:kern w:val="0"/>
          <w:sz w:val="24"/>
          <w:szCs w:val="24"/>
          <w:highlight w:val="yellow"/>
          <w:lang w:eastAsia="zh-CN"/>
        </w:rPr>
        <w:t>）</w:t>
      </w:r>
      <w:r>
        <w:rPr>
          <w:rFonts w:hint="eastAsia" w:asciiTheme="minorEastAsia" w:hAnsiTheme="minorEastAsia" w:eastAsiaTheme="minorEastAsia" w:cstheme="minorEastAsia"/>
          <w:kern w:val="0"/>
          <w:sz w:val="24"/>
          <w:szCs w:val="24"/>
          <w:highlight w:val="yellow"/>
          <w:lang w:val="en-US" w:eastAsia="zh-CN"/>
        </w:rPr>
        <w:t>中止期限届满后，致使中止的情形仍未能消除的。</w:t>
      </w:r>
    </w:p>
    <w:p w14:paraId="12592FCA">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highlight w:val="yellow"/>
          <w:lang w:val="en-US" w:eastAsia="zh-CN"/>
        </w:rPr>
      </w:pPr>
      <w:r>
        <w:rPr>
          <w:rFonts w:hint="eastAsia" w:asciiTheme="minorEastAsia" w:hAnsiTheme="minorEastAsia" w:eastAsiaTheme="minorEastAsia" w:cstheme="minorEastAsia"/>
          <w:kern w:val="0"/>
          <w:sz w:val="24"/>
          <w:szCs w:val="24"/>
          <w:highlight w:val="yellow"/>
          <w:lang w:val="en-US" w:eastAsia="zh-CN"/>
        </w:rPr>
        <w:t>（2）由于</w:t>
      </w:r>
      <w:r>
        <w:rPr>
          <w:rFonts w:hint="eastAsia" w:asciiTheme="minorEastAsia" w:hAnsiTheme="minorEastAsia" w:eastAsiaTheme="minorEastAsia" w:cstheme="minorEastAsia"/>
          <w:kern w:val="0"/>
          <w:sz w:val="24"/>
          <w:szCs w:val="24"/>
          <w:highlight w:val="yellow"/>
        </w:rPr>
        <w:t>安徽省农村综合产权交易所</w:t>
      </w:r>
      <w:r>
        <w:rPr>
          <w:rFonts w:hint="eastAsia" w:asciiTheme="minorEastAsia" w:hAnsiTheme="minorEastAsia" w:eastAsiaTheme="minorEastAsia" w:cstheme="minorEastAsia"/>
          <w:kern w:val="0"/>
          <w:sz w:val="24"/>
          <w:szCs w:val="24"/>
          <w:highlight w:val="yellow"/>
          <w:lang w:val="en-US" w:eastAsia="zh-CN"/>
        </w:rPr>
        <w:t>原因（包括但不限于交易系统原因、工作人员失误）导致交易无法正常进行或影响公平公正交易的。</w:t>
      </w:r>
    </w:p>
    <w:p w14:paraId="4BB65856">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default" w:asciiTheme="minorEastAsia" w:hAnsiTheme="minorEastAsia" w:eastAsiaTheme="minorEastAsia" w:cstheme="minorEastAsia"/>
          <w:kern w:val="0"/>
          <w:sz w:val="24"/>
          <w:szCs w:val="24"/>
          <w:highlight w:val="yellow"/>
          <w:lang w:val="en-US" w:eastAsia="zh-CN"/>
        </w:rPr>
      </w:pPr>
      <w:r>
        <w:rPr>
          <w:rFonts w:hint="eastAsia" w:asciiTheme="minorEastAsia" w:hAnsiTheme="minorEastAsia" w:eastAsiaTheme="minorEastAsia" w:cstheme="minorEastAsia"/>
          <w:kern w:val="0"/>
          <w:sz w:val="24"/>
          <w:szCs w:val="24"/>
          <w:highlight w:val="yellow"/>
          <w:lang w:val="en-US" w:eastAsia="zh-CN"/>
        </w:rPr>
        <w:t>（3）委托方来函申请终结项目的。</w:t>
      </w:r>
    </w:p>
    <w:p w14:paraId="4999C827">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default" w:asciiTheme="minorEastAsia" w:hAnsiTheme="minorEastAsia" w:eastAsiaTheme="minorEastAsia" w:cstheme="minorEastAsia"/>
          <w:kern w:val="0"/>
          <w:sz w:val="24"/>
          <w:szCs w:val="24"/>
          <w:highlight w:val="yellow"/>
          <w:lang w:val="en-US" w:eastAsia="zh-CN"/>
        </w:rPr>
      </w:pPr>
      <w:r>
        <w:rPr>
          <w:rFonts w:hint="eastAsia" w:asciiTheme="minorEastAsia" w:hAnsiTheme="minorEastAsia" w:eastAsiaTheme="minorEastAsia" w:cstheme="minorEastAsia"/>
          <w:kern w:val="0"/>
          <w:sz w:val="24"/>
          <w:szCs w:val="24"/>
          <w:highlight w:val="yellow"/>
          <w:lang w:val="en-US" w:eastAsia="zh-CN"/>
        </w:rPr>
        <w:t>（4）</w:t>
      </w:r>
      <w:r>
        <w:rPr>
          <w:rFonts w:hint="eastAsia" w:asciiTheme="minorEastAsia" w:hAnsiTheme="minorEastAsia" w:eastAsiaTheme="minorEastAsia" w:cstheme="minorEastAsia"/>
          <w:kern w:val="0"/>
          <w:sz w:val="24"/>
          <w:szCs w:val="24"/>
          <w:highlight w:val="yellow"/>
        </w:rPr>
        <w:t>《合肥市产权交易中止和终结交易操作细则》规定</w:t>
      </w:r>
      <w:r>
        <w:rPr>
          <w:rFonts w:hint="eastAsia" w:asciiTheme="minorEastAsia" w:hAnsiTheme="minorEastAsia" w:eastAsiaTheme="minorEastAsia" w:cstheme="minorEastAsia"/>
          <w:kern w:val="0"/>
          <w:sz w:val="24"/>
          <w:szCs w:val="24"/>
          <w:highlight w:val="yellow"/>
          <w:lang w:eastAsia="zh-CN"/>
        </w:rPr>
        <w:t>终结</w:t>
      </w:r>
      <w:r>
        <w:rPr>
          <w:rFonts w:hint="eastAsia" w:asciiTheme="minorEastAsia" w:hAnsiTheme="minorEastAsia" w:eastAsiaTheme="minorEastAsia" w:cstheme="minorEastAsia"/>
          <w:kern w:val="0"/>
          <w:sz w:val="24"/>
          <w:szCs w:val="24"/>
          <w:highlight w:val="yellow"/>
        </w:rPr>
        <w:t>交易的其他情形；</w:t>
      </w:r>
    </w:p>
    <w:p w14:paraId="1346AFBD">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10</w:t>
      </w:r>
      <w:r>
        <w:rPr>
          <w:rFonts w:hint="eastAsia" w:asciiTheme="minorEastAsia" w:hAnsiTheme="minorEastAsia" w:eastAsiaTheme="minorEastAsia" w:cstheme="minorEastAsia"/>
          <w:kern w:val="0"/>
          <w:sz w:val="24"/>
          <w:szCs w:val="24"/>
        </w:rPr>
        <w:t>.异常情况处理</w:t>
      </w:r>
    </w:p>
    <w:p w14:paraId="07CE1D42">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如因系统故障导致安徽省农村综合产权交易所未能及时暂停报价而出现报价结束的，或因系统故障导致项目信息需要重建的，安徽省农村综合产权交易所将中止报价活动。中止报价活动时系统显示的最高报价仅为当前最高报价，非成交价格；最高报价者仅为当前最高报价的意向方。</w:t>
      </w:r>
    </w:p>
    <w:p w14:paraId="71615FC1">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采取中止报价活动的，待影响报价正常进行的事项消除后，安徽省农村综合产权交易所将按照委托方要求的时间和方式继续报价或重新组织报价，规则如下：</w:t>
      </w:r>
    </w:p>
    <w:p w14:paraId="2A166F9C">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（1）在一次性报价期出现异常的，排除异常后恢复报价，恢复报价后一次性报价期不少于1个小时。</w:t>
      </w:r>
    </w:p>
    <w:p w14:paraId="18CE4DB0">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（2）在优先权行使期内出现异常的，经优先权人书面申请可行使优先权；</w:t>
      </w:r>
    </w:p>
    <w:p w14:paraId="051A2B15">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（3）非上述情形的，重新组织竞价，确认成交人。</w:t>
      </w:r>
    </w:p>
    <w:p w14:paraId="577CCE79">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11</w:t>
      </w:r>
      <w:r>
        <w:rPr>
          <w:rFonts w:hint="eastAsia" w:asciiTheme="minorEastAsia" w:hAnsiTheme="minorEastAsia" w:eastAsiaTheme="minorEastAsia" w:cstheme="minorEastAsia"/>
          <w:kern w:val="0"/>
          <w:sz w:val="24"/>
          <w:szCs w:val="24"/>
        </w:rPr>
        <w:t>.其他未尽事项详见《合肥市产权交易电子竞价交易规则》（合公法【2020】15号）</w:t>
      </w:r>
    </w:p>
    <w:p w14:paraId="5C06B63D">
      <w:pPr>
        <w:keepNext w:val="0"/>
        <w:keepLines w:val="0"/>
        <w:pageBreakBefore w:val="0"/>
        <w:widowControl/>
        <w:kinsoku/>
        <w:wordWrap/>
        <w:overflowPunct/>
        <w:topLinePunct w:val="0"/>
        <w:autoSpaceDE/>
        <w:autoSpaceDN/>
        <w:bidi w:val="0"/>
        <w:adjustRightInd/>
        <w:snapToGrid/>
        <w:spacing w:line="400" w:lineRule="exact"/>
        <w:ind w:firstLine="64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12</w:t>
      </w:r>
      <w:r>
        <w:rPr>
          <w:rFonts w:hint="eastAsia" w:asciiTheme="minorEastAsia" w:hAnsiTheme="minorEastAsia" w:eastAsiaTheme="minorEastAsia" w:cstheme="minorEastAsia"/>
          <w:kern w:val="0"/>
          <w:sz w:val="24"/>
          <w:szCs w:val="24"/>
        </w:rPr>
        <w:t>.本须知最终解释权归安徽省农村综合产权交易所。   </w:t>
      </w:r>
    </w:p>
    <w:p w14:paraId="42DF2718">
      <w:pPr>
        <w:keepNext w:val="0"/>
        <w:keepLines w:val="0"/>
        <w:pageBreakBefore w:val="0"/>
        <w:kinsoku/>
        <w:wordWrap/>
        <w:overflowPunct/>
        <w:topLinePunct w:val="0"/>
        <w:autoSpaceDE/>
        <w:autoSpaceDN/>
        <w:bidi w:val="0"/>
        <w:adjustRightInd/>
        <w:snapToGrid/>
        <w:spacing w:line="400" w:lineRule="exact"/>
        <w:ind w:firstLine="5640" w:firstLineChars="2350"/>
        <w:textAlignment w:val="auto"/>
        <w:rPr>
          <w:rFonts w:hint="eastAsia" w:asciiTheme="minorEastAsia" w:hAnsiTheme="minorEastAsia" w:eastAsiaTheme="minorEastAsia" w:cstheme="minorEastAsia"/>
          <w:kern w:val="0"/>
          <w:sz w:val="24"/>
          <w:szCs w:val="24"/>
        </w:rPr>
      </w:pPr>
    </w:p>
    <w:p w14:paraId="5E82AA42">
      <w:pPr>
        <w:keepNext w:val="0"/>
        <w:keepLines w:val="0"/>
        <w:pageBreakBefore w:val="0"/>
        <w:kinsoku/>
        <w:wordWrap/>
        <w:overflowPunct/>
        <w:topLinePunct w:val="0"/>
        <w:autoSpaceDE/>
        <w:autoSpaceDN/>
        <w:bidi w:val="0"/>
        <w:adjustRightInd/>
        <w:snapToGrid/>
        <w:spacing w:line="400" w:lineRule="exact"/>
        <w:ind w:firstLine="5640" w:firstLineChars="2350"/>
        <w:textAlignment w:val="auto"/>
        <w:rPr>
          <w:rFonts w:hint="eastAsia" w:asciiTheme="minorEastAsia" w:hAnsiTheme="minorEastAsia" w:eastAsiaTheme="minorEastAsia" w:cstheme="minorEastAsia"/>
          <w:kern w:val="0"/>
          <w:sz w:val="24"/>
          <w:szCs w:val="24"/>
        </w:rPr>
      </w:pPr>
    </w:p>
    <w:p w14:paraId="5C50A377">
      <w:pPr>
        <w:keepNext w:val="0"/>
        <w:keepLines w:val="0"/>
        <w:pageBreakBefore w:val="0"/>
        <w:kinsoku/>
        <w:wordWrap/>
        <w:overflowPunct/>
        <w:topLinePunct w:val="0"/>
        <w:autoSpaceDE/>
        <w:autoSpaceDN/>
        <w:bidi w:val="0"/>
        <w:adjustRightInd/>
        <w:snapToGrid/>
        <w:spacing w:line="400" w:lineRule="exact"/>
        <w:ind w:firstLine="6840" w:firstLineChars="285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安徽省农村综合产权交易所</w:t>
      </w:r>
    </w:p>
    <w:sectPr>
      <w:footerReference r:id="rId3" w:type="default"/>
      <w:pgSz w:w="11906" w:h="16838"/>
      <w:pgMar w:top="1440" w:right="1080" w:bottom="1440" w:left="108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7134706"/>
    </w:sdtPr>
    <w:sdtContent>
      <w:p w14:paraId="4D1DF096">
        <w:pPr>
          <w:pStyle w:val="8"/>
          <w:jc w:val="center"/>
        </w:pPr>
        <w:r>
          <w:fldChar w:fldCharType="begin"/>
        </w:r>
        <w:r>
          <w:instrText xml:space="preserve">PAGE   \* MERGEFORMAT</w:instrText>
        </w:r>
        <w:r>
          <w:fldChar w:fldCharType="separate"/>
        </w:r>
        <w:r>
          <w:rPr>
            <w:lang w:val="zh-CN"/>
          </w:rPr>
          <w:t>19</w:t>
        </w:r>
        <w:r>
          <w:fldChar w:fldCharType="end"/>
        </w:r>
      </w:p>
    </w:sdtContent>
  </w:sdt>
  <w:p w14:paraId="7C71D0C8">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83E"/>
    <w:rsid w:val="00000B8F"/>
    <w:rsid w:val="00000CC4"/>
    <w:rsid w:val="00007875"/>
    <w:rsid w:val="00011E09"/>
    <w:rsid w:val="000149F2"/>
    <w:rsid w:val="00015D9A"/>
    <w:rsid w:val="00017C69"/>
    <w:rsid w:val="0002195E"/>
    <w:rsid w:val="00024F64"/>
    <w:rsid w:val="00030F89"/>
    <w:rsid w:val="00033C1F"/>
    <w:rsid w:val="000416CA"/>
    <w:rsid w:val="000430C6"/>
    <w:rsid w:val="000442AB"/>
    <w:rsid w:val="000452AC"/>
    <w:rsid w:val="00046566"/>
    <w:rsid w:val="00046C91"/>
    <w:rsid w:val="00054505"/>
    <w:rsid w:val="0006473A"/>
    <w:rsid w:val="00064EC6"/>
    <w:rsid w:val="00066AFF"/>
    <w:rsid w:val="00067077"/>
    <w:rsid w:val="00075E46"/>
    <w:rsid w:val="00083048"/>
    <w:rsid w:val="00083787"/>
    <w:rsid w:val="00087A9C"/>
    <w:rsid w:val="000908C5"/>
    <w:rsid w:val="00092812"/>
    <w:rsid w:val="00093E68"/>
    <w:rsid w:val="00094E85"/>
    <w:rsid w:val="000A07B0"/>
    <w:rsid w:val="000B3A85"/>
    <w:rsid w:val="000B6546"/>
    <w:rsid w:val="000C20A3"/>
    <w:rsid w:val="000C491C"/>
    <w:rsid w:val="000C618D"/>
    <w:rsid w:val="000C78F3"/>
    <w:rsid w:val="000C7BDA"/>
    <w:rsid w:val="000D23A4"/>
    <w:rsid w:val="000D5FCA"/>
    <w:rsid w:val="000D73CF"/>
    <w:rsid w:val="000D767B"/>
    <w:rsid w:val="000E4DE6"/>
    <w:rsid w:val="000E6D0C"/>
    <w:rsid w:val="000F28AA"/>
    <w:rsid w:val="000F34D8"/>
    <w:rsid w:val="000F41C4"/>
    <w:rsid w:val="000F509C"/>
    <w:rsid w:val="000F51CC"/>
    <w:rsid w:val="00112458"/>
    <w:rsid w:val="001126DF"/>
    <w:rsid w:val="001135BD"/>
    <w:rsid w:val="00113D8D"/>
    <w:rsid w:val="001141EC"/>
    <w:rsid w:val="00114A0F"/>
    <w:rsid w:val="00114DEA"/>
    <w:rsid w:val="00120473"/>
    <w:rsid w:val="00123EBA"/>
    <w:rsid w:val="00124D49"/>
    <w:rsid w:val="00135806"/>
    <w:rsid w:val="00141B37"/>
    <w:rsid w:val="001435B2"/>
    <w:rsid w:val="001443F4"/>
    <w:rsid w:val="00146B20"/>
    <w:rsid w:val="00147D8A"/>
    <w:rsid w:val="00152503"/>
    <w:rsid w:val="00152913"/>
    <w:rsid w:val="001567DD"/>
    <w:rsid w:val="00157DAF"/>
    <w:rsid w:val="00165BC4"/>
    <w:rsid w:val="00170A32"/>
    <w:rsid w:val="001731AB"/>
    <w:rsid w:val="0018305A"/>
    <w:rsid w:val="00187D95"/>
    <w:rsid w:val="00191194"/>
    <w:rsid w:val="00192753"/>
    <w:rsid w:val="001A5E0E"/>
    <w:rsid w:val="001B0E91"/>
    <w:rsid w:val="001B3065"/>
    <w:rsid w:val="001B5DB6"/>
    <w:rsid w:val="001B631D"/>
    <w:rsid w:val="001C15CE"/>
    <w:rsid w:val="001C642A"/>
    <w:rsid w:val="001D1EA8"/>
    <w:rsid w:val="001E3660"/>
    <w:rsid w:val="001E39A9"/>
    <w:rsid w:val="001E4B3A"/>
    <w:rsid w:val="001E5916"/>
    <w:rsid w:val="001F09F0"/>
    <w:rsid w:val="001F1319"/>
    <w:rsid w:val="001F15BA"/>
    <w:rsid w:val="001F1B5C"/>
    <w:rsid w:val="001F6A72"/>
    <w:rsid w:val="00203092"/>
    <w:rsid w:val="00206454"/>
    <w:rsid w:val="0021344C"/>
    <w:rsid w:val="0021487D"/>
    <w:rsid w:val="0022276D"/>
    <w:rsid w:val="002252F4"/>
    <w:rsid w:val="002307FC"/>
    <w:rsid w:val="00233418"/>
    <w:rsid w:val="00233E11"/>
    <w:rsid w:val="002370D3"/>
    <w:rsid w:val="00242D0D"/>
    <w:rsid w:val="00245B2F"/>
    <w:rsid w:val="002503AE"/>
    <w:rsid w:val="00254416"/>
    <w:rsid w:val="00256A09"/>
    <w:rsid w:val="002607E4"/>
    <w:rsid w:val="00261B4A"/>
    <w:rsid w:val="00264665"/>
    <w:rsid w:val="002654BA"/>
    <w:rsid w:val="002657AB"/>
    <w:rsid w:val="00266044"/>
    <w:rsid w:val="002662BE"/>
    <w:rsid w:val="00271F31"/>
    <w:rsid w:val="00272243"/>
    <w:rsid w:val="0027730D"/>
    <w:rsid w:val="002810E5"/>
    <w:rsid w:val="002834A7"/>
    <w:rsid w:val="002909D4"/>
    <w:rsid w:val="0029102A"/>
    <w:rsid w:val="00293039"/>
    <w:rsid w:val="00294101"/>
    <w:rsid w:val="002A122F"/>
    <w:rsid w:val="002A6A5F"/>
    <w:rsid w:val="002B2F5E"/>
    <w:rsid w:val="002B7334"/>
    <w:rsid w:val="002B7530"/>
    <w:rsid w:val="002B76CE"/>
    <w:rsid w:val="002B77F9"/>
    <w:rsid w:val="002C2D01"/>
    <w:rsid w:val="002C7383"/>
    <w:rsid w:val="002D2DD6"/>
    <w:rsid w:val="002D3CA1"/>
    <w:rsid w:val="002D3E3D"/>
    <w:rsid w:val="002D45B3"/>
    <w:rsid w:val="002D6999"/>
    <w:rsid w:val="002D707E"/>
    <w:rsid w:val="002E1D8B"/>
    <w:rsid w:val="002E7412"/>
    <w:rsid w:val="002F3A75"/>
    <w:rsid w:val="0030069A"/>
    <w:rsid w:val="00301EBD"/>
    <w:rsid w:val="0030385B"/>
    <w:rsid w:val="0030524C"/>
    <w:rsid w:val="00305F9B"/>
    <w:rsid w:val="00307512"/>
    <w:rsid w:val="003079AE"/>
    <w:rsid w:val="003103FE"/>
    <w:rsid w:val="00314447"/>
    <w:rsid w:val="003210AF"/>
    <w:rsid w:val="003224D1"/>
    <w:rsid w:val="0032319F"/>
    <w:rsid w:val="00323B87"/>
    <w:rsid w:val="00326210"/>
    <w:rsid w:val="00326B3E"/>
    <w:rsid w:val="00326F8F"/>
    <w:rsid w:val="00330780"/>
    <w:rsid w:val="0033233E"/>
    <w:rsid w:val="0033234C"/>
    <w:rsid w:val="00332BC9"/>
    <w:rsid w:val="0033700F"/>
    <w:rsid w:val="00343D24"/>
    <w:rsid w:val="00346DE4"/>
    <w:rsid w:val="003471EB"/>
    <w:rsid w:val="003500AB"/>
    <w:rsid w:val="00352446"/>
    <w:rsid w:val="00355858"/>
    <w:rsid w:val="00356DC9"/>
    <w:rsid w:val="003570B0"/>
    <w:rsid w:val="00357555"/>
    <w:rsid w:val="003619DC"/>
    <w:rsid w:val="00361F12"/>
    <w:rsid w:val="0036413C"/>
    <w:rsid w:val="00365D8E"/>
    <w:rsid w:val="00372679"/>
    <w:rsid w:val="00373EC5"/>
    <w:rsid w:val="0037541D"/>
    <w:rsid w:val="003768AF"/>
    <w:rsid w:val="0037722B"/>
    <w:rsid w:val="0038243E"/>
    <w:rsid w:val="00385E94"/>
    <w:rsid w:val="00387E59"/>
    <w:rsid w:val="0039037A"/>
    <w:rsid w:val="003903B7"/>
    <w:rsid w:val="003952E4"/>
    <w:rsid w:val="003A34A3"/>
    <w:rsid w:val="003A5CD1"/>
    <w:rsid w:val="003B21C0"/>
    <w:rsid w:val="003B3015"/>
    <w:rsid w:val="003B380B"/>
    <w:rsid w:val="003C1DB7"/>
    <w:rsid w:val="003C4C40"/>
    <w:rsid w:val="003C610A"/>
    <w:rsid w:val="003C74A3"/>
    <w:rsid w:val="003D0F0B"/>
    <w:rsid w:val="003D0FBA"/>
    <w:rsid w:val="003D4715"/>
    <w:rsid w:val="003D6F0A"/>
    <w:rsid w:val="003D7335"/>
    <w:rsid w:val="003E02C4"/>
    <w:rsid w:val="003E18B4"/>
    <w:rsid w:val="003E4BC6"/>
    <w:rsid w:val="003E5120"/>
    <w:rsid w:val="003E6B4C"/>
    <w:rsid w:val="00402909"/>
    <w:rsid w:val="004054B9"/>
    <w:rsid w:val="00405C11"/>
    <w:rsid w:val="00406AF2"/>
    <w:rsid w:val="00410221"/>
    <w:rsid w:val="00410F23"/>
    <w:rsid w:val="00411912"/>
    <w:rsid w:val="00430C14"/>
    <w:rsid w:val="00435FC5"/>
    <w:rsid w:val="0044106F"/>
    <w:rsid w:val="00443FAF"/>
    <w:rsid w:val="00444035"/>
    <w:rsid w:val="0044583E"/>
    <w:rsid w:val="00446D8D"/>
    <w:rsid w:val="00447021"/>
    <w:rsid w:val="00450FD7"/>
    <w:rsid w:val="004512D7"/>
    <w:rsid w:val="00452CD1"/>
    <w:rsid w:val="004634C5"/>
    <w:rsid w:val="0046697A"/>
    <w:rsid w:val="00471B9A"/>
    <w:rsid w:val="00472FAC"/>
    <w:rsid w:val="00474783"/>
    <w:rsid w:val="00480010"/>
    <w:rsid w:val="004812D5"/>
    <w:rsid w:val="00484153"/>
    <w:rsid w:val="00484688"/>
    <w:rsid w:val="00486136"/>
    <w:rsid w:val="00491284"/>
    <w:rsid w:val="004948B9"/>
    <w:rsid w:val="00494B5C"/>
    <w:rsid w:val="004A33BD"/>
    <w:rsid w:val="004B1DCF"/>
    <w:rsid w:val="004B278B"/>
    <w:rsid w:val="004B6285"/>
    <w:rsid w:val="004B6940"/>
    <w:rsid w:val="004B7A41"/>
    <w:rsid w:val="004C09F0"/>
    <w:rsid w:val="004C1B41"/>
    <w:rsid w:val="004C4434"/>
    <w:rsid w:val="004C4E50"/>
    <w:rsid w:val="004C540A"/>
    <w:rsid w:val="004D1FB4"/>
    <w:rsid w:val="004D3A0D"/>
    <w:rsid w:val="004D6E80"/>
    <w:rsid w:val="004E14DE"/>
    <w:rsid w:val="004E1C50"/>
    <w:rsid w:val="004E4D41"/>
    <w:rsid w:val="004E4F80"/>
    <w:rsid w:val="004E736C"/>
    <w:rsid w:val="004F1BBB"/>
    <w:rsid w:val="004F1F82"/>
    <w:rsid w:val="004F5CFE"/>
    <w:rsid w:val="00502318"/>
    <w:rsid w:val="005026DB"/>
    <w:rsid w:val="00503DA8"/>
    <w:rsid w:val="00503DE7"/>
    <w:rsid w:val="00504115"/>
    <w:rsid w:val="005053C3"/>
    <w:rsid w:val="00511289"/>
    <w:rsid w:val="0051202B"/>
    <w:rsid w:val="00513C0F"/>
    <w:rsid w:val="0052020D"/>
    <w:rsid w:val="00520CED"/>
    <w:rsid w:val="00523324"/>
    <w:rsid w:val="00525CC2"/>
    <w:rsid w:val="005370FB"/>
    <w:rsid w:val="00537EC7"/>
    <w:rsid w:val="00542019"/>
    <w:rsid w:val="00542106"/>
    <w:rsid w:val="00542C45"/>
    <w:rsid w:val="00546521"/>
    <w:rsid w:val="00546DCE"/>
    <w:rsid w:val="00550A93"/>
    <w:rsid w:val="005510D7"/>
    <w:rsid w:val="005522AF"/>
    <w:rsid w:val="00556826"/>
    <w:rsid w:val="005609A5"/>
    <w:rsid w:val="0056197C"/>
    <w:rsid w:val="00562D7E"/>
    <w:rsid w:val="00563A53"/>
    <w:rsid w:val="00564EA9"/>
    <w:rsid w:val="00565B3E"/>
    <w:rsid w:val="0056676A"/>
    <w:rsid w:val="00571F41"/>
    <w:rsid w:val="00573A65"/>
    <w:rsid w:val="00574A14"/>
    <w:rsid w:val="00576E54"/>
    <w:rsid w:val="005808C4"/>
    <w:rsid w:val="00586C20"/>
    <w:rsid w:val="005871AC"/>
    <w:rsid w:val="00592D2F"/>
    <w:rsid w:val="005947AF"/>
    <w:rsid w:val="005A22F9"/>
    <w:rsid w:val="005A3497"/>
    <w:rsid w:val="005A40F4"/>
    <w:rsid w:val="005A6B95"/>
    <w:rsid w:val="005A7571"/>
    <w:rsid w:val="005B168E"/>
    <w:rsid w:val="005B3E70"/>
    <w:rsid w:val="005B4367"/>
    <w:rsid w:val="005C0FD4"/>
    <w:rsid w:val="005C4E90"/>
    <w:rsid w:val="005C5E43"/>
    <w:rsid w:val="005D186F"/>
    <w:rsid w:val="005D2A2B"/>
    <w:rsid w:val="005D4071"/>
    <w:rsid w:val="005D6F88"/>
    <w:rsid w:val="005E37A1"/>
    <w:rsid w:val="005E5EC5"/>
    <w:rsid w:val="005F0287"/>
    <w:rsid w:val="005F1FAA"/>
    <w:rsid w:val="005F2FD3"/>
    <w:rsid w:val="005F536D"/>
    <w:rsid w:val="005F588B"/>
    <w:rsid w:val="005F6532"/>
    <w:rsid w:val="005F7B4A"/>
    <w:rsid w:val="00600402"/>
    <w:rsid w:val="00600EC7"/>
    <w:rsid w:val="0060587F"/>
    <w:rsid w:val="00605E0A"/>
    <w:rsid w:val="00606B64"/>
    <w:rsid w:val="00612DC5"/>
    <w:rsid w:val="00616279"/>
    <w:rsid w:val="00617D37"/>
    <w:rsid w:val="0062139D"/>
    <w:rsid w:val="0062363A"/>
    <w:rsid w:val="0062592D"/>
    <w:rsid w:val="00625E17"/>
    <w:rsid w:val="00626ECE"/>
    <w:rsid w:val="00630E99"/>
    <w:rsid w:val="0063161B"/>
    <w:rsid w:val="0063370A"/>
    <w:rsid w:val="006358EE"/>
    <w:rsid w:val="00640031"/>
    <w:rsid w:val="00647ACD"/>
    <w:rsid w:val="00652A7F"/>
    <w:rsid w:val="00652BDD"/>
    <w:rsid w:val="00663657"/>
    <w:rsid w:val="00665C63"/>
    <w:rsid w:val="006674D9"/>
    <w:rsid w:val="00667E86"/>
    <w:rsid w:val="00672018"/>
    <w:rsid w:val="00673A66"/>
    <w:rsid w:val="006740DB"/>
    <w:rsid w:val="00680540"/>
    <w:rsid w:val="006809C8"/>
    <w:rsid w:val="00681298"/>
    <w:rsid w:val="0068156D"/>
    <w:rsid w:val="00682EA3"/>
    <w:rsid w:val="00687308"/>
    <w:rsid w:val="006875D6"/>
    <w:rsid w:val="006959CA"/>
    <w:rsid w:val="00695B54"/>
    <w:rsid w:val="00696684"/>
    <w:rsid w:val="00697023"/>
    <w:rsid w:val="00697D89"/>
    <w:rsid w:val="006A466D"/>
    <w:rsid w:val="006A729D"/>
    <w:rsid w:val="006B318E"/>
    <w:rsid w:val="006C0249"/>
    <w:rsid w:val="006C10BA"/>
    <w:rsid w:val="006C301B"/>
    <w:rsid w:val="006E5BFA"/>
    <w:rsid w:val="006F6E79"/>
    <w:rsid w:val="006F77D5"/>
    <w:rsid w:val="00705E3F"/>
    <w:rsid w:val="00712049"/>
    <w:rsid w:val="00712573"/>
    <w:rsid w:val="00713240"/>
    <w:rsid w:val="00717751"/>
    <w:rsid w:val="007200EC"/>
    <w:rsid w:val="007302D9"/>
    <w:rsid w:val="007355D5"/>
    <w:rsid w:val="00740DF5"/>
    <w:rsid w:val="007423BA"/>
    <w:rsid w:val="0074349C"/>
    <w:rsid w:val="00745E76"/>
    <w:rsid w:val="00747646"/>
    <w:rsid w:val="007546ED"/>
    <w:rsid w:val="0075505A"/>
    <w:rsid w:val="00755F5C"/>
    <w:rsid w:val="0075673B"/>
    <w:rsid w:val="00761F93"/>
    <w:rsid w:val="0076524A"/>
    <w:rsid w:val="00770F71"/>
    <w:rsid w:val="007777C2"/>
    <w:rsid w:val="00777F2B"/>
    <w:rsid w:val="0078085D"/>
    <w:rsid w:val="007813A7"/>
    <w:rsid w:val="0078253C"/>
    <w:rsid w:val="0078492A"/>
    <w:rsid w:val="00785AD2"/>
    <w:rsid w:val="0079246A"/>
    <w:rsid w:val="00796627"/>
    <w:rsid w:val="00797D01"/>
    <w:rsid w:val="007A50F4"/>
    <w:rsid w:val="007A5FC9"/>
    <w:rsid w:val="007A7B54"/>
    <w:rsid w:val="007B1225"/>
    <w:rsid w:val="007B35D5"/>
    <w:rsid w:val="007B3A28"/>
    <w:rsid w:val="007B7D40"/>
    <w:rsid w:val="007C019B"/>
    <w:rsid w:val="007C0F90"/>
    <w:rsid w:val="007C285E"/>
    <w:rsid w:val="007D2A72"/>
    <w:rsid w:val="007D4201"/>
    <w:rsid w:val="007D5A59"/>
    <w:rsid w:val="007E3D77"/>
    <w:rsid w:val="007F6E04"/>
    <w:rsid w:val="008015B1"/>
    <w:rsid w:val="00801DFA"/>
    <w:rsid w:val="0080393F"/>
    <w:rsid w:val="008058B7"/>
    <w:rsid w:val="00806DC1"/>
    <w:rsid w:val="008101FD"/>
    <w:rsid w:val="00811909"/>
    <w:rsid w:val="00811B2B"/>
    <w:rsid w:val="00814A77"/>
    <w:rsid w:val="00815DC2"/>
    <w:rsid w:val="00817FDC"/>
    <w:rsid w:val="00825A83"/>
    <w:rsid w:val="00826B07"/>
    <w:rsid w:val="00831718"/>
    <w:rsid w:val="00831E4D"/>
    <w:rsid w:val="0083235A"/>
    <w:rsid w:val="00834335"/>
    <w:rsid w:val="00834F48"/>
    <w:rsid w:val="00841BB6"/>
    <w:rsid w:val="00842B5D"/>
    <w:rsid w:val="00842D9F"/>
    <w:rsid w:val="0084513F"/>
    <w:rsid w:val="008479B7"/>
    <w:rsid w:val="00850EE3"/>
    <w:rsid w:val="008517DF"/>
    <w:rsid w:val="00851C5A"/>
    <w:rsid w:val="008571AE"/>
    <w:rsid w:val="0086064A"/>
    <w:rsid w:val="00867427"/>
    <w:rsid w:val="00867B83"/>
    <w:rsid w:val="008702B1"/>
    <w:rsid w:val="0087250A"/>
    <w:rsid w:val="00872C60"/>
    <w:rsid w:val="008749F6"/>
    <w:rsid w:val="008768C5"/>
    <w:rsid w:val="00876B7D"/>
    <w:rsid w:val="00880500"/>
    <w:rsid w:val="0088157B"/>
    <w:rsid w:val="00884958"/>
    <w:rsid w:val="00885A54"/>
    <w:rsid w:val="0088634E"/>
    <w:rsid w:val="00893CB2"/>
    <w:rsid w:val="00896611"/>
    <w:rsid w:val="00896721"/>
    <w:rsid w:val="008A1CED"/>
    <w:rsid w:val="008A559A"/>
    <w:rsid w:val="008A5881"/>
    <w:rsid w:val="008A58FB"/>
    <w:rsid w:val="008A67CE"/>
    <w:rsid w:val="008B0C3A"/>
    <w:rsid w:val="008B3C35"/>
    <w:rsid w:val="008C0F50"/>
    <w:rsid w:val="008C68E0"/>
    <w:rsid w:val="008C79E6"/>
    <w:rsid w:val="008D0AC0"/>
    <w:rsid w:val="008D319A"/>
    <w:rsid w:val="008D339A"/>
    <w:rsid w:val="008D6AD4"/>
    <w:rsid w:val="008D7959"/>
    <w:rsid w:val="008E2B61"/>
    <w:rsid w:val="008E5FA3"/>
    <w:rsid w:val="008E7000"/>
    <w:rsid w:val="008F2411"/>
    <w:rsid w:val="008F740B"/>
    <w:rsid w:val="00900D74"/>
    <w:rsid w:val="009012A0"/>
    <w:rsid w:val="00901C79"/>
    <w:rsid w:val="009025A8"/>
    <w:rsid w:val="00902664"/>
    <w:rsid w:val="00910251"/>
    <w:rsid w:val="0091348D"/>
    <w:rsid w:val="00927DDA"/>
    <w:rsid w:val="00927F74"/>
    <w:rsid w:val="00932D0D"/>
    <w:rsid w:val="00932E5A"/>
    <w:rsid w:val="009333EC"/>
    <w:rsid w:val="0093392F"/>
    <w:rsid w:val="00935D47"/>
    <w:rsid w:val="00940357"/>
    <w:rsid w:val="0094449C"/>
    <w:rsid w:val="00945A38"/>
    <w:rsid w:val="00945D52"/>
    <w:rsid w:val="00946C32"/>
    <w:rsid w:val="00951C69"/>
    <w:rsid w:val="0095216D"/>
    <w:rsid w:val="0096125A"/>
    <w:rsid w:val="00966B51"/>
    <w:rsid w:val="00970AFB"/>
    <w:rsid w:val="00975AD4"/>
    <w:rsid w:val="00976F93"/>
    <w:rsid w:val="00977C4E"/>
    <w:rsid w:val="00980074"/>
    <w:rsid w:val="00982F32"/>
    <w:rsid w:val="00983CB3"/>
    <w:rsid w:val="00984F9B"/>
    <w:rsid w:val="009861B3"/>
    <w:rsid w:val="00986BA1"/>
    <w:rsid w:val="009943FB"/>
    <w:rsid w:val="00994DDB"/>
    <w:rsid w:val="00996DB5"/>
    <w:rsid w:val="009976FC"/>
    <w:rsid w:val="009A2CEF"/>
    <w:rsid w:val="009A3B33"/>
    <w:rsid w:val="009A5E94"/>
    <w:rsid w:val="009A63B8"/>
    <w:rsid w:val="009A76EE"/>
    <w:rsid w:val="009B441F"/>
    <w:rsid w:val="009B6FCE"/>
    <w:rsid w:val="009C10DF"/>
    <w:rsid w:val="009C1678"/>
    <w:rsid w:val="009C390C"/>
    <w:rsid w:val="009C433B"/>
    <w:rsid w:val="009C511D"/>
    <w:rsid w:val="009C5CA8"/>
    <w:rsid w:val="009D0816"/>
    <w:rsid w:val="009D1073"/>
    <w:rsid w:val="009D11FF"/>
    <w:rsid w:val="009D1D15"/>
    <w:rsid w:val="009D6754"/>
    <w:rsid w:val="009D7427"/>
    <w:rsid w:val="009E0185"/>
    <w:rsid w:val="009E2A6F"/>
    <w:rsid w:val="009F525B"/>
    <w:rsid w:val="009F568C"/>
    <w:rsid w:val="00A01C2C"/>
    <w:rsid w:val="00A02457"/>
    <w:rsid w:val="00A06DD1"/>
    <w:rsid w:val="00A13228"/>
    <w:rsid w:val="00A17A84"/>
    <w:rsid w:val="00A20846"/>
    <w:rsid w:val="00A217FE"/>
    <w:rsid w:val="00A22074"/>
    <w:rsid w:val="00A23D6D"/>
    <w:rsid w:val="00A24338"/>
    <w:rsid w:val="00A30D29"/>
    <w:rsid w:val="00A33583"/>
    <w:rsid w:val="00A3383C"/>
    <w:rsid w:val="00A34E5C"/>
    <w:rsid w:val="00A35D6B"/>
    <w:rsid w:val="00A416BF"/>
    <w:rsid w:val="00A442DE"/>
    <w:rsid w:val="00A44D16"/>
    <w:rsid w:val="00A62161"/>
    <w:rsid w:val="00A703E9"/>
    <w:rsid w:val="00A74932"/>
    <w:rsid w:val="00A772F0"/>
    <w:rsid w:val="00A80B5A"/>
    <w:rsid w:val="00A83DD6"/>
    <w:rsid w:val="00A8410D"/>
    <w:rsid w:val="00A857DA"/>
    <w:rsid w:val="00A878A9"/>
    <w:rsid w:val="00A908B6"/>
    <w:rsid w:val="00A90CAB"/>
    <w:rsid w:val="00A96370"/>
    <w:rsid w:val="00A9671F"/>
    <w:rsid w:val="00AA12B8"/>
    <w:rsid w:val="00AA2420"/>
    <w:rsid w:val="00AA2F15"/>
    <w:rsid w:val="00AA36C0"/>
    <w:rsid w:val="00AA46F2"/>
    <w:rsid w:val="00AB10F4"/>
    <w:rsid w:val="00AB20DF"/>
    <w:rsid w:val="00AB75B5"/>
    <w:rsid w:val="00AC1C80"/>
    <w:rsid w:val="00AC5DB0"/>
    <w:rsid w:val="00AC7154"/>
    <w:rsid w:val="00AD1647"/>
    <w:rsid w:val="00AD4181"/>
    <w:rsid w:val="00AD578A"/>
    <w:rsid w:val="00AD7444"/>
    <w:rsid w:val="00AE23D4"/>
    <w:rsid w:val="00AE2CD6"/>
    <w:rsid w:val="00AE49A4"/>
    <w:rsid w:val="00AE4F10"/>
    <w:rsid w:val="00AE53F6"/>
    <w:rsid w:val="00AE5477"/>
    <w:rsid w:val="00AF1487"/>
    <w:rsid w:val="00B038D0"/>
    <w:rsid w:val="00B056FD"/>
    <w:rsid w:val="00B12A17"/>
    <w:rsid w:val="00B12D83"/>
    <w:rsid w:val="00B13621"/>
    <w:rsid w:val="00B144B8"/>
    <w:rsid w:val="00B15BB5"/>
    <w:rsid w:val="00B172BC"/>
    <w:rsid w:val="00B2001F"/>
    <w:rsid w:val="00B22914"/>
    <w:rsid w:val="00B23C3E"/>
    <w:rsid w:val="00B23EE4"/>
    <w:rsid w:val="00B25D3F"/>
    <w:rsid w:val="00B36668"/>
    <w:rsid w:val="00B36CB9"/>
    <w:rsid w:val="00B50310"/>
    <w:rsid w:val="00B532EC"/>
    <w:rsid w:val="00B568E1"/>
    <w:rsid w:val="00B623A6"/>
    <w:rsid w:val="00B6495B"/>
    <w:rsid w:val="00B64BFA"/>
    <w:rsid w:val="00B706A2"/>
    <w:rsid w:val="00B71408"/>
    <w:rsid w:val="00B71769"/>
    <w:rsid w:val="00B735DF"/>
    <w:rsid w:val="00B74A9E"/>
    <w:rsid w:val="00B758E7"/>
    <w:rsid w:val="00B82E72"/>
    <w:rsid w:val="00B84BD3"/>
    <w:rsid w:val="00B85066"/>
    <w:rsid w:val="00B940F9"/>
    <w:rsid w:val="00B950BD"/>
    <w:rsid w:val="00BA0673"/>
    <w:rsid w:val="00BA5BAF"/>
    <w:rsid w:val="00BA6DE3"/>
    <w:rsid w:val="00BA7947"/>
    <w:rsid w:val="00BB0753"/>
    <w:rsid w:val="00BB1066"/>
    <w:rsid w:val="00BB1630"/>
    <w:rsid w:val="00BB4096"/>
    <w:rsid w:val="00BB5FC3"/>
    <w:rsid w:val="00BB6F4C"/>
    <w:rsid w:val="00BB75A7"/>
    <w:rsid w:val="00BC2CFA"/>
    <w:rsid w:val="00BC5A15"/>
    <w:rsid w:val="00BC6335"/>
    <w:rsid w:val="00BD1C76"/>
    <w:rsid w:val="00BE05E7"/>
    <w:rsid w:val="00BE0A7C"/>
    <w:rsid w:val="00BE6D1B"/>
    <w:rsid w:val="00BE7965"/>
    <w:rsid w:val="00BF0009"/>
    <w:rsid w:val="00BF2227"/>
    <w:rsid w:val="00C01C01"/>
    <w:rsid w:val="00C05394"/>
    <w:rsid w:val="00C0626E"/>
    <w:rsid w:val="00C112A3"/>
    <w:rsid w:val="00C136DD"/>
    <w:rsid w:val="00C2583B"/>
    <w:rsid w:val="00C30B60"/>
    <w:rsid w:val="00C312B3"/>
    <w:rsid w:val="00C341C0"/>
    <w:rsid w:val="00C37A66"/>
    <w:rsid w:val="00C41008"/>
    <w:rsid w:val="00C41C0C"/>
    <w:rsid w:val="00C46685"/>
    <w:rsid w:val="00C47F3A"/>
    <w:rsid w:val="00C503A5"/>
    <w:rsid w:val="00C5478D"/>
    <w:rsid w:val="00C55636"/>
    <w:rsid w:val="00C578A3"/>
    <w:rsid w:val="00C64220"/>
    <w:rsid w:val="00C64F2E"/>
    <w:rsid w:val="00C66B38"/>
    <w:rsid w:val="00C74750"/>
    <w:rsid w:val="00C77265"/>
    <w:rsid w:val="00C8391D"/>
    <w:rsid w:val="00C86516"/>
    <w:rsid w:val="00C90D53"/>
    <w:rsid w:val="00C9150F"/>
    <w:rsid w:val="00C94F1D"/>
    <w:rsid w:val="00C959D4"/>
    <w:rsid w:val="00C967CA"/>
    <w:rsid w:val="00CA25FC"/>
    <w:rsid w:val="00CA2FFA"/>
    <w:rsid w:val="00CA44DE"/>
    <w:rsid w:val="00CA585B"/>
    <w:rsid w:val="00CA782B"/>
    <w:rsid w:val="00CC02A1"/>
    <w:rsid w:val="00CC71C1"/>
    <w:rsid w:val="00CD0D1C"/>
    <w:rsid w:val="00CD36F1"/>
    <w:rsid w:val="00CD39BF"/>
    <w:rsid w:val="00CD49BE"/>
    <w:rsid w:val="00CE02C7"/>
    <w:rsid w:val="00CE0E0B"/>
    <w:rsid w:val="00CE40B6"/>
    <w:rsid w:val="00CE5E18"/>
    <w:rsid w:val="00CF21C1"/>
    <w:rsid w:val="00CF2A6B"/>
    <w:rsid w:val="00CF5C46"/>
    <w:rsid w:val="00CF6ACB"/>
    <w:rsid w:val="00D0170C"/>
    <w:rsid w:val="00D15342"/>
    <w:rsid w:val="00D17A49"/>
    <w:rsid w:val="00D20D58"/>
    <w:rsid w:val="00D215BC"/>
    <w:rsid w:val="00D22DDB"/>
    <w:rsid w:val="00D24B7B"/>
    <w:rsid w:val="00D25571"/>
    <w:rsid w:val="00D27427"/>
    <w:rsid w:val="00D31B73"/>
    <w:rsid w:val="00D34579"/>
    <w:rsid w:val="00D355C4"/>
    <w:rsid w:val="00D36E02"/>
    <w:rsid w:val="00D43FFA"/>
    <w:rsid w:val="00D51856"/>
    <w:rsid w:val="00D52612"/>
    <w:rsid w:val="00D52DFA"/>
    <w:rsid w:val="00D54DE6"/>
    <w:rsid w:val="00D60A2D"/>
    <w:rsid w:val="00D70F2B"/>
    <w:rsid w:val="00D7237E"/>
    <w:rsid w:val="00D75579"/>
    <w:rsid w:val="00D7584B"/>
    <w:rsid w:val="00D77F16"/>
    <w:rsid w:val="00D855C2"/>
    <w:rsid w:val="00D8593E"/>
    <w:rsid w:val="00D86E32"/>
    <w:rsid w:val="00D9370F"/>
    <w:rsid w:val="00D939B5"/>
    <w:rsid w:val="00D93BED"/>
    <w:rsid w:val="00D95E31"/>
    <w:rsid w:val="00DA2E55"/>
    <w:rsid w:val="00DA4BD3"/>
    <w:rsid w:val="00DA4FCF"/>
    <w:rsid w:val="00DB18A1"/>
    <w:rsid w:val="00DB3B93"/>
    <w:rsid w:val="00DB6AFA"/>
    <w:rsid w:val="00DB71D3"/>
    <w:rsid w:val="00DC345E"/>
    <w:rsid w:val="00DC5ED9"/>
    <w:rsid w:val="00DC5FE6"/>
    <w:rsid w:val="00DC7AE1"/>
    <w:rsid w:val="00DD327E"/>
    <w:rsid w:val="00DD3F07"/>
    <w:rsid w:val="00DD654E"/>
    <w:rsid w:val="00DD7BA8"/>
    <w:rsid w:val="00DE1FF7"/>
    <w:rsid w:val="00DE31BB"/>
    <w:rsid w:val="00DE41F2"/>
    <w:rsid w:val="00DE77FE"/>
    <w:rsid w:val="00DF18D4"/>
    <w:rsid w:val="00DF5413"/>
    <w:rsid w:val="00DF5616"/>
    <w:rsid w:val="00DF6404"/>
    <w:rsid w:val="00E012B5"/>
    <w:rsid w:val="00E07B45"/>
    <w:rsid w:val="00E10800"/>
    <w:rsid w:val="00E11DDC"/>
    <w:rsid w:val="00E12A43"/>
    <w:rsid w:val="00E20B69"/>
    <w:rsid w:val="00E2228B"/>
    <w:rsid w:val="00E25151"/>
    <w:rsid w:val="00E27DF7"/>
    <w:rsid w:val="00E3129D"/>
    <w:rsid w:val="00E35EA6"/>
    <w:rsid w:val="00E3604E"/>
    <w:rsid w:val="00E37842"/>
    <w:rsid w:val="00E403F9"/>
    <w:rsid w:val="00E40571"/>
    <w:rsid w:val="00E55D99"/>
    <w:rsid w:val="00E56211"/>
    <w:rsid w:val="00E567F5"/>
    <w:rsid w:val="00E56DE8"/>
    <w:rsid w:val="00E70032"/>
    <w:rsid w:val="00E72912"/>
    <w:rsid w:val="00E74C21"/>
    <w:rsid w:val="00E7597A"/>
    <w:rsid w:val="00E802F9"/>
    <w:rsid w:val="00E833A0"/>
    <w:rsid w:val="00E85CD3"/>
    <w:rsid w:val="00E910C9"/>
    <w:rsid w:val="00E926D6"/>
    <w:rsid w:val="00E92A75"/>
    <w:rsid w:val="00E951B8"/>
    <w:rsid w:val="00E954F0"/>
    <w:rsid w:val="00E97E76"/>
    <w:rsid w:val="00EA0D8D"/>
    <w:rsid w:val="00EA2074"/>
    <w:rsid w:val="00EA60E4"/>
    <w:rsid w:val="00EA66E1"/>
    <w:rsid w:val="00EA703D"/>
    <w:rsid w:val="00EB5544"/>
    <w:rsid w:val="00EB672B"/>
    <w:rsid w:val="00EB6D01"/>
    <w:rsid w:val="00EB6FA2"/>
    <w:rsid w:val="00EB723D"/>
    <w:rsid w:val="00EB7B90"/>
    <w:rsid w:val="00EC2367"/>
    <w:rsid w:val="00ED022F"/>
    <w:rsid w:val="00ED3ADD"/>
    <w:rsid w:val="00ED3FDF"/>
    <w:rsid w:val="00EE1565"/>
    <w:rsid w:val="00EE2229"/>
    <w:rsid w:val="00EE2D55"/>
    <w:rsid w:val="00EE3951"/>
    <w:rsid w:val="00EE4CA7"/>
    <w:rsid w:val="00EF0E41"/>
    <w:rsid w:val="00EF4DE9"/>
    <w:rsid w:val="00EF59BE"/>
    <w:rsid w:val="00EF5FAF"/>
    <w:rsid w:val="00EF6F20"/>
    <w:rsid w:val="00EF7766"/>
    <w:rsid w:val="00F037DC"/>
    <w:rsid w:val="00F06A0B"/>
    <w:rsid w:val="00F13F05"/>
    <w:rsid w:val="00F147D8"/>
    <w:rsid w:val="00F15493"/>
    <w:rsid w:val="00F15DD3"/>
    <w:rsid w:val="00F17EBC"/>
    <w:rsid w:val="00F20BF8"/>
    <w:rsid w:val="00F23E00"/>
    <w:rsid w:val="00F2787A"/>
    <w:rsid w:val="00F31087"/>
    <w:rsid w:val="00F3414D"/>
    <w:rsid w:val="00F342D8"/>
    <w:rsid w:val="00F3626E"/>
    <w:rsid w:val="00F36FC7"/>
    <w:rsid w:val="00F37FCD"/>
    <w:rsid w:val="00F4291B"/>
    <w:rsid w:val="00F43DF6"/>
    <w:rsid w:val="00F4791E"/>
    <w:rsid w:val="00F56CD3"/>
    <w:rsid w:val="00F672CC"/>
    <w:rsid w:val="00F714E8"/>
    <w:rsid w:val="00F73498"/>
    <w:rsid w:val="00F751B4"/>
    <w:rsid w:val="00F801E5"/>
    <w:rsid w:val="00F81495"/>
    <w:rsid w:val="00F84298"/>
    <w:rsid w:val="00F859BE"/>
    <w:rsid w:val="00F873A7"/>
    <w:rsid w:val="00F9219A"/>
    <w:rsid w:val="00F957F4"/>
    <w:rsid w:val="00F95822"/>
    <w:rsid w:val="00F96F83"/>
    <w:rsid w:val="00F97F9C"/>
    <w:rsid w:val="00FA06EE"/>
    <w:rsid w:val="00FA283E"/>
    <w:rsid w:val="00FA48CB"/>
    <w:rsid w:val="00FB097E"/>
    <w:rsid w:val="00FB74AF"/>
    <w:rsid w:val="00FC027B"/>
    <w:rsid w:val="00FC0C40"/>
    <w:rsid w:val="00FC34D2"/>
    <w:rsid w:val="00FC3EBF"/>
    <w:rsid w:val="00FD0128"/>
    <w:rsid w:val="00FD2A2C"/>
    <w:rsid w:val="00FD5B2C"/>
    <w:rsid w:val="00FD6036"/>
    <w:rsid w:val="00FD657F"/>
    <w:rsid w:val="00FD6785"/>
    <w:rsid w:val="00FD6850"/>
    <w:rsid w:val="00FE10D2"/>
    <w:rsid w:val="00FF5117"/>
    <w:rsid w:val="00FF55E4"/>
    <w:rsid w:val="01167185"/>
    <w:rsid w:val="017E3102"/>
    <w:rsid w:val="01830E54"/>
    <w:rsid w:val="02C7774C"/>
    <w:rsid w:val="030E3198"/>
    <w:rsid w:val="032635F1"/>
    <w:rsid w:val="03393E3E"/>
    <w:rsid w:val="034035B5"/>
    <w:rsid w:val="03702755"/>
    <w:rsid w:val="03E11588"/>
    <w:rsid w:val="046104AB"/>
    <w:rsid w:val="053A6E32"/>
    <w:rsid w:val="069E5033"/>
    <w:rsid w:val="06AF57B9"/>
    <w:rsid w:val="07854C4B"/>
    <w:rsid w:val="07E33F05"/>
    <w:rsid w:val="07E559BF"/>
    <w:rsid w:val="081E402E"/>
    <w:rsid w:val="082B5078"/>
    <w:rsid w:val="08C94B9F"/>
    <w:rsid w:val="0A262A4B"/>
    <w:rsid w:val="0A56420C"/>
    <w:rsid w:val="0A686B78"/>
    <w:rsid w:val="0A741DDB"/>
    <w:rsid w:val="0AF339D2"/>
    <w:rsid w:val="0B156A2A"/>
    <w:rsid w:val="0B474A47"/>
    <w:rsid w:val="0B680F8C"/>
    <w:rsid w:val="0C4A7189"/>
    <w:rsid w:val="0D012449"/>
    <w:rsid w:val="0D3905A8"/>
    <w:rsid w:val="0E3619C0"/>
    <w:rsid w:val="0E4B14DD"/>
    <w:rsid w:val="0E704D93"/>
    <w:rsid w:val="0F27479A"/>
    <w:rsid w:val="0FDA75C4"/>
    <w:rsid w:val="10522432"/>
    <w:rsid w:val="10F74F08"/>
    <w:rsid w:val="1157715B"/>
    <w:rsid w:val="11DB39D0"/>
    <w:rsid w:val="12066FDC"/>
    <w:rsid w:val="12541B34"/>
    <w:rsid w:val="12AF6E65"/>
    <w:rsid w:val="12C61BD7"/>
    <w:rsid w:val="13274F51"/>
    <w:rsid w:val="13645E66"/>
    <w:rsid w:val="13797B02"/>
    <w:rsid w:val="13AB6165"/>
    <w:rsid w:val="14F62AF8"/>
    <w:rsid w:val="15160286"/>
    <w:rsid w:val="15C56028"/>
    <w:rsid w:val="15F63B25"/>
    <w:rsid w:val="167222C7"/>
    <w:rsid w:val="16A13E2E"/>
    <w:rsid w:val="16CF4085"/>
    <w:rsid w:val="174E6B70"/>
    <w:rsid w:val="175D756C"/>
    <w:rsid w:val="176F603B"/>
    <w:rsid w:val="184F2D0F"/>
    <w:rsid w:val="18765075"/>
    <w:rsid w:val="196E03DC"/>
    <w:rsid w:val="197C2130"/>
    <w:rsid w:val="19BF6BB7"/>
    <w:rsid w:val="1A667B69"/>
    <w:rsid w:val="1A6B1C1C"/>
    <w:rsid w:val="1A84300F"/>
    <w:rsid w:val="1AAB1588"/>
    <w:rsid w:val="1AFD1C8D"/>
    <w:rsid w:val="1B370688"/>
    <w:rsid w:val="1B9D3588"/>
    <w:rsid w:val="1BCA7C3C"/>
    <w:rsid w:val="1C0763B5"/>
    <w:rsid w:val="1C092230"/>
    <w:rsid w:val="1CFE27CA"/>
    <w:rsid w:val="1D8F0401"/>
    <w:rsid w:val="1E1E6855"/>
    <w:rsid w:val="1E6F3E42"/>
    <w:rsid w:val="1EDD1091"/>
    <w:rsid w:val="1F03069B"/>
    <w:rsid w:val="1F4F1798"/>
    <w:rsid w:val="1F5570BE"/>
    <w:rsid w:val="1F923AD8"/>
    <w:rsid w:val="1FBB4172"/>
    <w:rsid w:val="1FCE6B06"/>
    <w:rsid w:val="2035611D"/>
    <w:rsid w:val="20E911F1"/>
    <w:rsid w:val="21241074"/>
    <w:rsid w:val="21F15831"/>
    <w:rsid w:val="2208480B"/>
    <w:rsid w:val="224571A4"/>
    <w:rsid w:val="22B50EFD"/>
    <w:rsid w:val="22BC45F7"/>
    <w:rsid w:val="22DB43BA"/>
    <w:rsid w:val="22EA6670"/>
    <w:rsid w:val="23011BF0"/>
    <w:rsid w:val="23A47DDC"/>
    <w:rsid w:val="24495BD5"/>
    <w:rsid w:val="24BC25F9"/>
    <w:rsid w:val="25111BF9"/>
    <w:rsid w:val="253D07B1"/>
    <w:rsid w:val="26682367"/>
    <w:rsid w:val="26CD00AB"/>
    <w:rsid w:val="26D7444E"/>
    <w:rsid w:val="28020C35"/>
    <w:rsid w:val="28875A5D"/>
    <w:rsid w:val="28964891"/>
    <w:rsid w:val="289B06AA"/>
    <w:rsid w:val="28BC37B9"/>
    <w:rsid w:val="28F543A9"/>
    <w:rsid w:val="29CE2807"/>
    <w:rsid w:val="2A3426D4"/>
    <w:rsid w:val="2AB2516F"/>
    <w:rsid w:val="2ADD1BE7"/>
    <w:rsid w:val="2AF62F95"/>
    <w:rsid w:val="2B6F4F35"/>
    <w:rsid w:val="2BCE779E"/>
    <w:rsid w:val="2C045FD2"/>
    <w:rsid w:val="2C5A047B"/>
    <w:rsid w:val="2D594D95"/>
    <w:rsid w:val="2D9C6D5B"/>
    <w:rsid w:val="2DC617AD"/>
    <w:rsid w:val="2DD87138"/>
    <w:rsid w:val="2E3D202E"/>
    <w:rsid w:val="2E5934D2"/>
    <w:rsid w:val="2EA56C6A"/>
    <w:rsid w:val="2ECB59F7"/>
    <w:rsid w:val="2EDC342E"/>
    <w:rsid w:val="2F556B51"/>
    <w:rsid w:val="2F96379F"/>
    <w:rsid w:val="2FAC0D9E"/>
    <w:rsid w:val="2FC06D51"/>
    <w:rsid w:val="300B34D7"/>
    <w:rsid w:val="3075672D"/>
    <w:rsid w:val="31000265"/>
    <w:rsid w:val="311B2854"/>
    <w:rsid w:val="3141010C"/>
    <w:rsid w:val="31414FD6"/>
    <w:rsid w:val="31EE275A"/>
    <w:rsid w:val="323B5F6E"/>
    <w:rsid w:val="32A1663A"/>
    <w:rsid w:val="32B94F4D"/>
    <w:rsid w:val="32CC3D9D"/>
    <w:rsid w:val="32CE0066"/>
    <w:rsid w:val="334A2E9C"/>
    <w:rsid w:val="33654B6A"/>
    <w:rsid w:val="33C22C49"/>
    <w:rsid w:val="33DD66DC"/>
    <w:rsid w:val="34781F35"/>
    <w:rsid w:val="3485027A"/>
    <w:rsid w:val="35761320"/>
    <w:rsid w:val="364C18CC"/>
    <w:rsid w:val="36FC5B65"/>
    <w:rsid w:val="379D5F07"/>
    <w:rsid w:val="38360DF5"/>
    <w:rsid w:val="39D10993"/>
    <w:rsid w:val="3A2C336B"/>
    <w:rsid w:val="3A4823AF"/>
    <w:rsid w:val="3A6503E4"/>
    <w:rsid w:val="3A910092"/>
    <w:rsid w:val="3B2904BD"/>
    <w:rsid w:val="3B3962C0"/>
    <w:rsid w:val="3BCD1486"/>
    <w:rsid w:val="3C1B1756"/>
    <w:rsid w:val="3C453C5A"/>
    <w:rsid w:val="3C6C47E8"/>
    <w:rsid w:val="3CD41AEF"/>
    <w:rsid w:val="3CD42EEF"/>
    <w:rsid w:val="3D845D87"/>
    <w:rsid w:val="3E165283"/>
    <w:rsid w:val="3E393ABD"/>
    <w:rsid w:val="3E955EB8"/>
    <w:rsid w:val="3F2859BA"/>
    <w:rsid w:val="3FB35F4A"/>
    <w:rsid w:val="3FEE1343"/>
    <w:rsid w:val="3FFD5B2C"/>
    <w:rsid w:val="40220102"/>
    <w:rsid w:val="40A24527"/>
    <w:rsid w:val="40B503F1"/>
    <w:rsid w:val="40B970E8"/>
    <w:rsid w:val="40CC70F2"/>
    <w:rsid w:val="40EF3563"/>
    <w:rsid w:val="41F63AE3"/>
    <w:rsid w:val="430C5D74"/>
    <w:rsid w:val="43431D94"/>
    <w:rsid w:val="4347798D"/>
    <w:rsid w:val="436E5B19"/>
    <w:rsid w:val="43B33EC1"/>
    <w:rsid w:val="43E70DBA"/>
    <w:rsid w:val="44EA58B7"/>
    <w:rsid w:val="45FD2205"/>
    <w:rsid w:val="46CD2BA3"/>
    <w:rsid w:val="48734D54"/>
    <w:rsid w:val="489B53E9"/>
    <w:rsid w:val="48D506CD"/>
    <w:rsid w:val="49276B3E"/>
    <w:rsid w:val="499E7604"/>
    <w:rsid w:val="49C54DD7"/>
    <w:rsid w:val="49F46F73"/>
    <w:rsid w:val="4A25297D"/>
    <w:rsid w:val="4A380482"/>
    <w:rsid w:val="4A5252E3"/>
    <w:rsid w:val="4A91322B"/>
    <w:rsid w:val="4AE131B5"/>
    <w:rsid w:val="4B5E1C5A"/>
    <w:rsid w:val="4B7351A0"/>
    <w:rsid w:val="4C056B9B"/>
    <w:rsid w:val="4C0A75B4"/>
    <w:rsid w:val="4CAF3F46"/>
    <w:rsid w:val="4CD13F98"/>
    <w:rsid w:val="4DBE14B3"/>
    <w:rsid w:val="4DF848B5"/>
    <w:rsid w:val="4E6116CE"/>
    <w:rsid w:val="4EB77B72"/>
    <w:rsid w:val="4ECB1469"/>
    <w:rsid w:val="4FBF6963"/>
    <w:rsid w:val="4FFA6CF3"/>
    <w:rsid w:val="4FFB2EBA"/>
    <w:rsid w:val="5034259B"/>
    <w:rsid w:val="504C0AD1"/>
    <w:rsid w:val="50C569B0"/>
    <w:rsid w:val="51736F37"/>
    <w:rsid w:val="518E2AFE"/>
    <w:rsid w:val="521E1402"/>
    <w:rsid w:val="52D8134F"/>
    <w:rsid w:val="52F46222"/>
    <w:rsid w:val="53007D15"/>
    <w:rsid w:val="535E5F81"/>
    <w:rsid w:val="537C0067"/>
    <w:rsid w:val="54446AF3"/>
    <w:rsid w:val="54586594"/>
    <w:rsid w:val="552E651D"/>
    <w:rsid w:val="553D6BEC"/>
    <w:rsid w:val="554C0CAB"/>
    <w:rsid w:val="55883563"/>
    <w:rsid w:val="5624623E"/>
    <w:rsid w:val="56290F18"/>
    <w:rsid w:val="565663C1"/>
    <w:rsid w:val="56960A13"/>
    <w:rsid w:val="56A35AA2"/>
    <w:rsid w:val="572B4854"/>
    <w:rsid w:val="574F16E1"/>
    <w:rsid w:val="57850272"/>
    <w:rsid w:val="578C01B8"/>
    <w:rsid w:val="581B21FB"/>
    <w:rsid w:val="582669E5"/>
    <w:rsid w:val="58442662"/>
    <w:rsid w:val="58BC10F6"/>
    <w:rsid w:val="58FF18E9"/>
    <w:rsid w:val="59387C65"/>
    <w:rsid w:val="595714F4"/>
    <w:rsid w:val="59726A2F"/>
    <w:rsid w:val="59893878"/>
    <w:rsid w:val="5A0A3EED"/>
    <w:rsid w:val="5A562725"/>
    <w:rsid w:val="5A811BC8"/>
    <w:rsid w:val="5ADC630F"/>
    <w:rsid w:val="5B0D1E5E"/>
    <w:rsid w:val="5B1E3ED7"/>
    <w:rsid w:val="5B440428"/>
    <w:rsid w:val="5BB07457"/>
    <w:rsid w:val="5BE11D5D"/>
    <w:rsid w:val="5CAF4150"/>
    <w:rsid w:val="5D8F3630"/>
    <w:rsid w:val="5DAC209A"/>
    <w:rsid w:val="5E141F47"/>
    <w:rsid w:val="5E3F678B"/>
    <w:rsid w:val="5E6C1F12"/>
    <w:rsid w:val="5E920A30"/>
    <w:rsid w:val="5FF80994"/>
    <w:rsid w:val="601A0859"/>
    <w:rsid w:val="602D63E6"/>
    <w:rsid w:val="603A0571"/>
    <w:rsid w:val="60480119"/>
    <w:rsid w:val="60C53BBD"/>
    <w:rsid w:val="60EA5465"/>
    <w:rsid w:val="612140FC"/>
    <w:rsid w:val="6122121B"/>
    <w:rsid w:val="61422CEF"/>
    <w:rsid w:val="615F6C81"/>
    <w:rsid w:val="61883A68"/>
    <w:rsid w:val="619A382E"/>
    <w:rsid w:val="619F5718"/>
    <w:rsid w:val="61DA4E97"/>
    <w:rsid w:val="61FF0867"/>
    <w:rsid w:val="620E3147"/>
    <w:rsid w:val="626F56C2"/>
    <w:rsid w:val="62760743"/>
    <w:rsid w:val="63A05E59"/>
    <w:rsid w:val="63F17A68"/>
    <w:rsid w:val="64452165"/>
    <w:rsid w:val="646C2D39"/>
    <w:rsid w:val="6503730A"/>
    <w:rsid w:val="650646EE"/>
    <w:rsid w:val="65126A5F"/>
    <w:rsid w:val="6538233D"/>
    <w:rsid w:val="655845B4"/>
    <w:rsid w:val="656838FA"/>
    <w:rsid w:val="65C379B5"/>
    <w:rsid w:val="65C841D3"/>
    <w:rsid w:val="66361A19"/>
    <w:rsid w:val="66E02DE1"/>
    <w:rsid w:val="66E37DFA"/>
    <w:rsid w:val="66F91DDD"/>
    <w:rsid w:val="67111897"/>
    <w:rsid w:val="67E7718C"/>
    <w:rsid w:val="68913A95"/>
    <w:rsid w:val="699D4CDD"/>
    <w:rsid w:val="69CA502A"/>
    <w:rsid w:val="6B0A592F"/>
    <w:rsid w:val="6B171879"/>
    <w:rsid w:val="6B62677F"/>
    <w:rsid w:val="6C0039C9"/>
    <w:rsid w:val="6C601A7D"/>
    <w:rsid w:val="6C8E112E"/>
    <w:rsid w:val="6CA0146F"/>
    <w:rsid w:val="6D062F65"/>
    <w:rsid w:val="6DB35CA7"/>
    <w:rsid w:val="6E8E5EED"/>
    <w:rsid w:val="6EAE1738"/>
    <w:rsid w:val="6EB70940"/>
    <w:rsid w:val="6EE24740"/>
    <w:rsid w:val="6F4A07C6"/>
    <w:rsid w:val="6FA578E3"/>
    <w:rsid w:val="6FB8425A"/>
    <w:rsid w:val="6FC14629"/>
    <w:rsid w:val="70F31B78"/>
    <w:rsid w:val="714270F7"/>
    <w:rsid w:val="71820360"/>
    <w:rsid w:val="718F618F"/>
    <w:rsid w:val="71E65D2F"/>
    <w:rsid w:val="722E6052"/>
    <w:rsid w:val="72744368"/>
    <w:rsid w:val="727D68EB"/>
    <w:rsid w:val="72C96EBB"/>
    <w:rsid w:val="72CC2141"/>
    <w:rsid w:val="72FD4701"/>
    <w:rsid w:val="734B5234"/>
    <w:rsid w:val="739B4217"/>
    <w:rsid w:val="739C7F16"/>
    <w:rsid w:val="73CE5C41"/>
    <w:rsid w:val="73F41950"/>
    <w:rsid w:val="7431364C"/>
    <w:rsid w:val="74582E38"/>
    <w:rsid w:val="75423773"/>
    <w:rsid w:val="757072B9"/>
    <w:rsid w:val="75B36444"/>
    <w:rsid w:val="762767F8"/>
    <w:rsid w:val="763717EC"/>
    <w:rsid w:val="76531CE1"/>
    <w:rsid w:val="76622E16"/>
    <w:rsid w:val="766D6D1F"/>
    <w:rsid w:val="7684767B"/>
    <w:rsid w:val="76952469"/>
    <w:rsid w:val="76B02B12"/>
    <w:rsid w:val="77107AC2"/>
    <w:rsid w:val="778C7AF4"/>
    <w:rsid w:val="77CC0DD1"/>
    <w:rsid w:val="7800705D"/>
    <w:rsid w:val="784C06DE"/>
    <w:rsid w:val="78CD29EE"/>
    <w:rsid w:val="78FA02E8"/>
    <w:rsid w:val="79202C60"/>
    <w:rsid w:val="798119DF"/>
    <w:rsid w:val="79996D54"/>
    <w:rsid w:val="79B66061"/>
    <w:rsid w:val="79BC1686"/>
    <w:rsid w:val="79C65997"/>
    <w:rsid w:val="7A5C4FDB"/>
    <w:rsid w:val="7A6F3FA1"/>
    <w:rsid w:val="7A8159C0"/>
    <w:rsid w:val="7A830D3E"/>
    <w:rsid w:val="7ABD5EA7"/>
    <w:rsid w:val="7B08515E"/>
    <w:rsid w:val="7B2847C2"/>
    <w:rsid w:val="7B501D98"/>
    <w:rsid w:val="7C5C1A17"/>
    <w:rsid w:val="7CE25446"/>
    <w:rsid w:val="7D3420A3"/>
    <w:rsid w:val="7E064A59"/>
    <w:rsid w:val="7E071041"/>
    <w:rsid w:val="7E40420C"/>
    <w:rsid w:val="7E781B00"/>
    <w:rsid w:val="7E914732"/>
    <w:rsid w:val="7F974A7E"/>
    <w:rsid w:val="7FBA455C"/>
    <w:rsid w:val="7FED6C2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paragraph" w:styleId="3">
    <w:name w:val="heading 6"/>
    <w:basedOn w:val="1"/>
    <w:next w:val="1"/>
    <w:link w:val="30"/>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next w:val="5"/>
    <w:qFormat/>
    <w:uiPriority w:val="0"/>
    <w:pPr>
      <w:spacing w:after="120"/>
      <w:ind w:left="420" w:leftChars="200"/>
    </w:pPr>
  </w:style>
  <w:style w:type="paragraph" w:styleId="5">
    <w:name w:val="envelope return"/>
    <w:basedOn w:val="1"/>
    <w:qFormat/>
    <w:uiPriority w:val="0"/>
    <w:pPr>
      <w:snapToGrid w:val="0"/>
    </w:pPr>
    <w:rPr>
      <w:rFonts w:ascii="Arial" w:hAnsi="Arial"/>
    </w:rPr>
  </w:style>
  <w:style w:type="paragraph" w:styleId="6">
    <w:name w:val="Plain Text"/>
    <w:basedOn w:val="1"/>
    <w:qFormat/>
    <w:uiPriority w:val="0"/>
    <w:rPr>
      <w:rFonts w:ascii="宋体" w:hAnsi="Courier New"/>
    </w:rPr>
  </w:style>
  <w:style w:type="paragraph" w:styleId="7">
    <w:name w:val="Balloon Text"/>
    <w:basedOn w:val="1"/>
    <w:link w:val="31"/>
    <w:unhideWhenUsed/>
    <w:qFormat/>
    <w:uiPriority w:val="99"/>
    <w:rPr>
      <w:sz w:val="18"/>
      <w:szCs w:val="18"/>
    </w:rPr>
  </w:style>
  <w:style w:type="paragraph" w:styleId="8">
    <w:name w:val="footer"/>
    <w:basedOn w:val="1"/>
    <w:link w:val="29"/>
    <w:unhideWhenUsed/>
    <w:qFormat/>
    <w:uiPriority w:val="99"/>
    <w:pPr>
      <w:tabs>
        <w:tab w:val="center" w:pos="4153"/>
        <w:tab w:val="right" w:pos="8306"/>
      </w:tabs>
      <w:snapToGrid w:val="0"/>
      <w:jc w:val="left"/>
    </w:pPr>
    <w:rPr>
      <w:sz w:val="18"/>
      <w:szCs w:val="18"/>
    </w:rPr>
  </w:style>
  <w:style w:type="paragraph" w:styleId="9">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4"/>
    <w:next w:val="1"/>
    <w:qFormat/>
    <w:uiPriority w:val="0"/>
    <w:pPr>
      <w:ind w:firstLine="420" w:firstLineChars="200"/>
    </w:pPr>
  </w:style>
  <w:style w:type="table" w:styleId="13">
    <w:name w:val="Table Grid"/>
    <w:basedOn w:val="12"/>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vanish/>
    </w:rPr>
  </w:style>
  <w:style w:type="character" w:styleId="16">
    <w:name w:val="FollowedHyperlink"/>
    <w:basedOn w:val="14"/>
    <w:semiHidden/>
    <w:unhideWhenUsed/>
    <w:qFormat/>
    <w:uiPriority w:val="99"/>
    <w:rPr>
      <w:color w:val="800080" w:themeColor="followedHyperlink"/>
      <w:u w:val="single"/>
      <w14:textFill>
        <w14:solidFill>
          <w14:schemeClr w14:val="folHlink"/>
        </w14:solidFill>
      </w14:textFill>
    </w:rPr>
  </w:style>
  <w:style w:type="character" w:styleId="17">
    <w:name w:val="Emphasis"/>
    <w:basedOn w:val="14"/>
    <w:qFormat/>
    <w:uiPriority w:val="20"/>
    <w:rPr>
      <w:b/>
      <w:bCs/>
    </w:rPr>
  </w:style>
  <w:style w:type="character" w:styleId="18">
    <w:name w:val="HTML Definition"/>
    <w:basedOn w:val="14"/>
    <w:semiHidden/>
    <w:unhideWhenUsed/>
    <w:qFormat/>
    <w:uiPriority w:val="99"/>
  </w:style>
  <w:style w:type="character" w:styleId="19">
    <w:name w:val="HTML Typewriter"/>
    <w:basedOn w:val="14"/>
    <w:semiHidden/>
    <w:unhideWhenUsed/>
    <w:qFormat/>
    <w:uiPriority w:val="99"/>
    <w:rPr>
      <w:rFonts w:hint="default" w:ascii="monospace" w:hAnsi="monospace" w:eastAsia="monospace" w:cs="monospace"/>
      <w:sz w:val="20"/>
    </w:rPr>
  </w:style>
  <w:style w:type="character" w:styleId="20">
    <w:name w:val="HTML Acronym"/>
    <w:basedOn w:val="14"/>
    <w:semiHidden/>
    <w:unhideWhenUsed/>
    <w:qFormat/>
    <w:uiPriority w:val="99"/>
  </w:style>
  <w:style w:type="character" w:styleId="21">
    <w:name w:val="HTML Variable"/>
    <w:basedOn w:val="14"/>
    <w:semiHidden/>
    <w:unhideWhenUsed/>
    <w:qFormat/>
    <w:uiPriority w:val="99"/>
  </w:style>
  <w:style w:type="character" w:styleId="22">
    <w:name w:val="Hyperlink"/>
    <w:basedOn w:val="14"/>
    <w:unhideWhenUsed/>
    <w:qFormat/>
    <w:uiPriority w:val="99"/>
    <w:rPr>
      <w:color w:val="0000FF" w:themeColor="hyperlink"/>
      <w:u w:val="single"/>
      <w14:textFill>
        <w14:solidFill>
          <w14:schemeClr w14:val="hlink"/>
        </w14:solidFill>
      </w14:textFill>
    </w:rPr>
  </w:style>
  <w:style w:type="character" w:styleId="23">
    <w:name w:val="HTML Code"/>
    <w:basedOn w:val="14"/>
    <w:semiHidden/>
    <w:unhideWhenUsed/>
    <w:qFormat/>
    <w:uiPriority w:val="99"/>
    <w:rPr>
      <w:rFonts w:hint="default" w:ascii="monospace" w:hAnsi="monospace" w:eastAsia="monospace" w:cs="monospace"/>
      <w:sz w:val="20"/>
    </w:rPr>
  </w:style>
  <w:style w:type="character" w:styleId="24">
    <w:name w:val="HTML Cite"/>
    <w:basedOn w:val="14"/>
    <w:semiHidden/>
    <w:unhideWhenUsed/>
    <w:qFormat/>
    <w:uiPriority w:val="99"/>
  </w:style>
  <w:style w:type="character" w:styleId="25">
    <w:name w:val="HTML Keyboard"/>
    <w:basedOn w:val="14"/>
    <w:semiHidden/>
    <w:unhideWhenUsed/>
    <w:qFormat/>
    <w:uiPriority w:val="99"/>
    <w:rPr>
      <w:rFonts w:ascii="monospace" w:hAnsi="monospace" w:eastAsia="monospace" w:cs="monospace"/>
      <w:color w:val="FFFFFF"/>
      <w:sz w:val="19"/>
      <w:szCs w:val="19"/>
      <w:shd w:val="clear" w:fill="F6F6F6"/>
    </w:rPr>
  </w:style>
  <w:style w:type="character" w:styleId="26">
    <w:name w:val="HTML Sample"/>
    <w:basedOn w:val="14"/>
    <w:semiHidden/>
    <w:unhideWhenUsed/>
    <w:qFormat/>
    <w:uiPriority w:val="99"/>
    <w:rPr>
      <w:rFonts w:hint="default" w:ascii="monospace" w:hAnsi="monospace" w:eastAsia="monospace" w:cs="monospace"/>
    </w:rPr>
  </w:style>
  <w:style w:type="paragraph" w:customStyle="1" w:styleId="27">
    <w:name w:val="列出段落1"/>
    <w:basedOn w:val="1"/>
    <w:qFormat/>
    <w:uiPriority w:val="34"/>
    <w:pPr>
      <w:ind w:firstLine="420" w:firstLineChars="200"/>
    </w:pPr>
  </w:style>
  <w:style w:type="character" w:customStyle="1" w:styleId="28">
    <w:name w:val="页眉 Char"/>
    <w:basedOn w:val="14"/>
    <w:link w:val="9"/>
    <w:qFormat/>
    <w:uiPriority w:val="99"/>
    <w:rPr>
      <w:rFonts w:ascii="Times New Roman" w:hAnsi="Times New Roman" w:eastAsia="宋体" w:cs="Times New Roman"/>
      <w:sz w:val="18"/>
      <w:szCs w:val="18"/>
    </w:rPr>
  </w:style>
  <w:style w:type="character" w:customStyle="1" w:styleId="29">
    <w:name w:val="页脚 Char"/>
    <w:basedOn w:val="14"/>
    <w:link w:val="8"/>
    <w:qFormat/>
    <w:uiPriority w:val="99"/>
    <w:rPr>
      <w:rFonts w:ascii="Times New Roman" w:hAnsi="Times New Roman" w:eastAsia="宋体" w:cs="Times New Roman"/>
      <w:sz w:val="18"/>
      <w:szCs w:val="18"/>
    </w:rPr>
  </w:style>
  <w:style w:type="character" w:customStyle="1" w:styleId="30">
    <w:name w:val="标题 6 Char"/>
    <w:basedOn w:val="14"/>
    <w:link w:val="3"/>
    <w:qFormat/>
    <w:uiPriority w:val="9"/>
    <w:rPr>
      <w:rFonts w:asciiTheme="majorHAnsi" w:hAnsiTheme="majorHAnsi" w:eastAsiaTheme="majorEastAsia" w:cstheme="majorBidi"/>
      <w:b/>
      <w:bCs/>
      <w:sz w:val="24"/>
      <w:szCs w:val="24"/>
    </w:rPr>
  </w:style>
  <w:style w:type="character" w:customStyle="1" w:styleId="31">
    <w:name w:val="批注框文本 Char"/>
    <w:basedOn w:val="14"/>
    <w:link w:val="7"/>
    <w:semiHidden/>
    <w:qFormat/>
    <w:uiPriority w:val="99"/>
    <w:rPr>
      <w:rFonts w:ascii="Times New Roman" w:hAnsi="Times New Roman" w:eastAsia="宋体" w:cs="Times New Roman"/>
      <w:sz w:val="18"/>
      <w:szCs w:val="18"/>
    </w:rPr>
  </w:style>
  <w:style w:type="paragraph" w:customStyle="1" w:styleId="32">
    <w:name w:val="Default Paragraph Char Char Char Char"/>
    <w:basedOn w:val="1"/>
    <w:next w:val="1"/>
    <w:qFormat/>
    <w:uiPriority w:val="0"/>
    <w:pPr>
      <w:widowControl/>
      <w:spacing w:line="360" w:lineRule="auto"/>
      <w:jc w:val="left"/>
    </w:pPr>
    <w:rPr>
      <w:kern w:val="0"/>
      <w:szCs w:val="20"/>
      <w:lang w:eastAsia="en-US"/>
    </w:rPr>
  </w:style>
  <w:style w:type="paragraph" w:styleId="33">
    <w:name w:val="List Paragraph"/>
    <w:basedOn w:val="1"/>
    <w:unhideWhenUsed/>
    <w:qFormat/>
    <w:uiPriority w:val="99"/>
    <w:pPr>
      <w:ind w:firstLine="420" w:firstLineChars="200"/>
    </w:pPr>
  </w:style>
  <w:style w:type="character" w:customStyle="1" w:styleId="34">
    <w:name w:val="hover"/>
    <w:basedOn w:val="14"/>
    <w:qFormat/>
    <w:uiPriority w:val="0"/>
  </w:style>
  <w:style w:type="character" w:customStyle="1" w:styleId="35">
    <w:name w:val="hover1"/>
    <w:basedOn w:val="14"/>
    <w:qFormat/>
    <w:uiPriority w:val="0"/>
    <w:rPr>
      <w:color w:val="2590EB"/>
    </w:rPr>
  </w:style>
  <w:style w:type="character" w:customStyle="1" w:styleId="36">
    <w:name w:val="hover2"/>
    <w:basedOn w:val="14"/>
    <w:qFormat/>
    <w:uiPriority w:val="0"/>
    <w:rPr>
      <w:color w:val="2590EB"/>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microsoft.com/office/2006/relationships/keyMapCustomizations" Target="customizations.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0E8D5-4F8F-459D-A7CC-09D256D10A90}">
  <ds:schemaRefs/>
</ds:datastoreItem>
</file>

<file path=docProps/app.xml><?xml version="1.0" encoding="utf-8"?>
<Properties xmlns="http://schemas.openxmlformats.org/officeDocument/2006/extended-properties" xmlns:vt="http://schemas.openxmlformats.org/officeDocument/2006/docPropsVTypes">
  <Template>Normal.dotm</Template>
  <Company>合肥市产权交易中心</Company>
  <Pages>3</Pages>
  <Words>1932</Words>
  <Characters>1951</Characters>
  <Lines>86</Lines>
  <Paragraphs>24</Paragraphs>
  <TotalTime>1</TotalTime>
  <ScaleCrop>false</ScaleCrop>
  <LinksUpToDate>false</LinksUpToDate>
  <CharactersWithSpaces>1958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2018-12-26T05:55:00Z</dcterms:created>
  <dc:creator>陈晨</dc:creator>
  <cp:lastModifiedBy>W</cp:lastModifiedBy>
  <cp:lastPrinted>2018-12-26T08:43:00Z</cp:lastPrinted>
  <dcterms:modified xsi:type="dcterms:W3CDTF">2025-06-19T07:02:45Z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eyJoZGlkIjoiNTg2ZjBjNjBiODEyMDRhMTFkM2ZlZWI2ZjE0MmQwZDEiLCJ1c2VySWQiOiIxMTcxMjAzNTAxIn0=</vt:lpwstr>
  </property>
  <property fmtid="{D5CDD505-2E9C-101B-9397-08002B2CF9AE}" pid="4" name="ICV">
    <vt:lpwstr>19EF33E8B83D4AD19514DB70A63F1A2A_12</vt:lpwstr>
  </property>
</Properties>
</file>