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0" w:firstLineChars="0"/>
        <w:rPr>
          <w:rFonts w:ascii="黑体" w:hAnsi="黑体" w:eastAsia="黑体"/>
        </w:rPr>
      </w:pPr>
      <w:r>
        <w:rPr>
          <w:rFonts w:hint="eastAsia" w:ascii="黑体" w:hAnsi="黑体" w:eastAsia="黑体"/>
        </w:rPr>
        <w:t>附件1</w:t>
      </w:r>
    </w:p>
    <w:p>
      <w:pPr>
        <w:ind w:firstLine="640"/>
      </w:pPr>
    </w:p>
    <w:p>
      <w:pPr>
        <w:pStyle w:val="37"/>
        <w:outlineLvl w:val="0"/>
      </w:pPr>
      <w:bookmarkStart w:id="0" w:name="_Hlk125902439"/>
      <w:r>
        <w:rPr>
          <w:rFonts w:hint="eastAsia"/>
        </w:rPr>
        <w:t>农村产权流转交易规范化试点建设参考</w:t>
      </w:r>
    </w:p>
    <w:bookmarkEnd w:id="0"/>
    <w:p>
      <w:pPr>
        <w:ind w:firstLine="640"/>
      </w:pPr>
    </w:p>
    <w:p>
      <w:pPr>
        <w:ind w:firstLine="640"/>
      </w:pPr>
      <w:r>
        <w:rPr>
          <w:rFonts w:hint="eastAsia"/>
        </w:rPr>
        <w:t>近年来，各地农村产权流转交易发展较快，取得明显成效，探索和积累了宝贵经验。全国农村集体产权制度改革部际联席会议办公室在深入总结各地经验基础上，</w:t>
      </w:r>
      <w:r>
        <w:t>依据</w:t>
      </w:r>
      <w:r>
        <w:rPr>
          <w:rFonts w:hint="eastAsia"/>
        </w:rPr>
        <w:t>《中共中央关于全面深化改革若干重大问题的决定》、《中共中央、国务院关于稳步推进农村集体产权制度改革的意见》、《中华人民共和国国民经济和社会发展第十四个五年规划和2035年远景目标纲要》、《乡村建设行动实施方案》、《国务院办公厅关于引导农村产权流转交易市场健康发展的意见》等文件要求，以及</w:t>
      </w:r>
      <w:r>
        <w:t>法律法规</w:t>
      </w:r>
      <w:r>
        <w:rPr>
          <w:rFonts w:hint="eastAsia"/>
        </w:rPr>
        <w:t>相关规定，研究制定了农村产权流转交易规范化试点建设参考，供试点地区参照</w:t>
      </w:r>
      <w:r>
        <w:t>。</w:t>
      </w:r>
    </w:p>
    <w:p>
      <w:pPr>
        <w:pStyle w:val="33"/>
        <w:ind w:firstLine="640"/>
        <w:outlineLvl w:val="1"/>
      </w:pPr>
      <w:bookmarkStart w:id="1" w:name="_Hlk118385796"/>
      <w:r>
        <w:rPr>
          <w:rFonts w:hint="eastAsia"/>
        </w:rPr>
        <w:t>一、健全交易体系</w:t>
      </w:r>
    </w:p>
    <w:p>
      <w:pPr>
        <w:ind w:firstLine="643"/>
        <w:outlineLvl w:val="2"/>
      </w:pPr>
      <w:r>
        <w:rPr>
          <w:rFonts w:hint="eastAsia" w:eastAsia="楷体_GB2312"/>
          <w:b/>
          <w:bCs/>
        </w:rPr>
        <w:t>（一）交易机构。</w:t>
      </w:r>
      <w:r>
        <w:rPr>
          <w:rFonts w:hint="eastAsia"/>
        </w:rPr>
        <w:t>充分利用现有公共资源交易中心、农村土地承包经营权流转服务中心、农村集体资产管理服务中心、林权管理服务中心和林权产权交易场所等农村产权流转交易场所的交易服务功能，根据当地实际，理顺不同层级农村产权流转交易场所、机构和服务平台的关系，采取多种形式合作共建，构建省市县多级联动、互联互通、有机衔接的</w:t>
      </w:r>
      <w:r>
        <w:t>农村产权流转交易服务机构</w:t>
      </w:r>
      <w:r>
        <w:rPr>
          <w:rFonts w:hint="eastAsia"/>
        </w:rPr>
        <w:t>体系，实现资源共享、功能互补、协同发展。鼓励有条件的地方探索不同区域间市场联合与合作。</w:t>
      </w:r>
    </w:p>
    <w:p>
      <w:pPr>
        <w:ind w:firstLine="643"/>
        <w:outlineLvl w:val="2"/>
      </w:pPr>
      <w:r>
        <w:rPr>
          <w:rFonts w:hint="eastAsia" w:ascii="楷体_GB2312" w:eastAsia="楷体_GB2312"/>
          <w:b/>
          <w:bCs/>
        </w:rPr>
        <w:t>（二）交易服务。</w:t>
      </w:r>
      <w:r>
        <w:rPr>
          <w:rFonts w:hint="eastAsia"/>
        </w:rPr>
        <w:t>引导农村产权流转交易服务机构</w:t>
      </w:r>
      <w:r>
        <w:t>充分发挥</w:t>
      </w:r>
      <w:r>
        <w:rPr>
          <w:rFonts w:hint="eastAsia"/>
        </w:rPr>
        <w:t>信息传递、价格发现、交易中介等</w:t>
      </w:r>
      <w:r>
        <w:t>方面的</w:t>
      </w:r>
      <w:r>
        <w:rPr>
          <w:rFonts w:hint="eastAsia"/>
        </w:rPr>
        <w:t>功能，为农户、家庭农场、农民合作社、农村集体经济组织、涉农企业等主体流转交易农村产权提供标准化、专业化、便利化服务。鼓励农村产权流转交易服务机构主动适应交易主体、目的和方式多样化需求，积极引入法律咨询、资产评估等专业化第三方服务，积极与</w:t>
      </w:r>
      <w:r>
        <w:rPr>
          <w:rFonts w:hint="eastAsia" w:ascii="仿宋_GB2312" w:hAnsi="仿宋_GB2312" w:cs="仿宋_GB2312"/>
        </w:rPr>
        <w:t>银行保险机构共享信息，</w:t>
      </w:r>
      <w:bookmarkStart w:id="2" w:name="_Hlk119402375"/>
      <w:r>
        <w:rPr>
          <w:rFonts w:hint="eastAsia"/>
        </w:rPr>
        <w:t>为银行保险机构开展抵押合同签订、抵押物处置交易业务提供便利</w:t>
      </w:r>
      <w:bookmarkEnd w:id="2"/>
      <w:r>
        <w:rPr>
          <w:rFonts w:hint="eastAsia"/>
        </w:rPr>
        <w:t>。</w:t>
      </w:r>
    </w:p>
    <w:p>
      <w:pPr>
        <w:ind w:firstLine="643"/>
        <w:outlineLvl w:val="2"/>
      </w:pPr>
      <w:r>
        <w:rPr>
          <w:rFonts w:hint="eastAsia" w:ascii="楷体_GB2312" w:eastAsia="楷体_GB2312"/>
          <w:b/>
          <w:bCs/>
        </w:rPr>
        <w:t>（三）信息平台。</w:t>
      </w:r>
      <w:r>
        <w:rPr>
          <w:rFonts w:hint="eastAsia"/>
        </w:rPr>
        <w:t>积极推动完善信息系统，鼓励有条件的地方整合各类流转服务平台，统筹推进省级信息系统建设。加强区块链、大数据等现代信息技术应用，推进农村产权流转交易数字化管理，使信息系统有效承载线上资料审核、网络实时竞价、信息发布查询、电子档案存档以及交易鉴证出具等多种功能。研究制定不同平台间数据共享标准，打通数据共享接口，在保证信息安全的前提下，有序推进系统互联对接，逐步推动建立纵向贯通、横向联动、高效共享的农村产权流转交易信息共享体系。推进与不动产登记机构业务协同和系统联动，实现农村产权流转交易信息与不动产登记信息实时互通共享。</w:t>
      </w:r>
    </w:p>
    <w:p>
      <w:pPr>
        <w:ind w:firstLine="643"/>
        <w:outlineLvl w:val="2"/>
      </w:pPr>
      <w:bookmarkStart w:id="3" w:name="_Hlk117474642"/>
      <w:r>
        <w:rPr>
          <w:rFonts w:hint="eastAsia" w:ascii="楷体_GB2312" w:eastAsia="楷体_GB2312"/>
          <w:b/>
          <w:bCs/>
        </w:rPr>
        <w:t>（四）政策服务。</w:t>
      </w:r>
      <w:bookmarkEnd w:id="3"/>
      <w:r>
        <w:rPr>
          <w:rFonts w:hint="eastAsia"/>
        </w:rPr>
        <w:t>建立健全农村集体资产监督管理体系，配备与工作相适应的专业人员，健全农村产权流转交易设施，加强农村集体资产监督管理和农村产权流转交易政策服务，维护农民和交易主体合法权益。注重发挥农村基层经营管理职能作用，有条件的地方可依托乡（镇、街道）农村经营管理部门建立农村产权流转交易工作站，依托村集体经济组织建立服务点，确保农村产权流转交易政策服务直达村户。鼓励有条件的地方探索完善政府购买公益性服务、公益性业务奖补等支持政策。</w:t>
      </w:r>
    </w:p>
    <w:bookmarkEnd w:id="1"/>
    <w:p>
      <w:pPr>
        <w:pStyle w:val="33"/>
        <w:ind w:firstLine="640"/>
        <w:outlineLvl w:val="1"/>
      </w:pPr>
      <w:r>
        <w:rPr>
          <w:rFonts w:hint="eastAsia"/>
        </w:rPr>
        <w:t>二、完善交易规则</w:t>
      </w:r>
    </w:p>
    <w:p>
      <w:pPr>
        <w:ind w:firstLine="643"/>
        <w:outlineLvl w:val="2"/>
      </w:pPr>
      <w:bookmarkStart w:id="4" w:name="_Hlk117478325"/>
      <w:r>
        <w:rPr>
          <w:rFonts w:hint="eastAsia" w:ascii="楷体_GB2312" w:eastAsia="楷体_GB2312"/>
          <w:b/>
          <w:bCs/>
        </w:rPr>
        <w:t>（五）交易品种。</w:t>
      </w:r>
      <w:bookmarkEnd w:id="4"/>
      <w:r>
        <w:rPr>
          <w:rFonts w:hint="eastAsia"/>
        </w:rPr>
        <w:t>法律没有限制的品种均可入场流转交易，流转交易的方式、期限和流转交易后的开发利用必须遵循相关法律、法规和政策规定，严守非金融化、非证券化、非期货化的底线。在确定入场交易品种时，应结合当地资源禀赋、资产形成属性和相关法律法规及政策要求进行科学论证，根据农村产权要素性质、流转范围和交易需要，分类制定统一的流转交易规则，经本级农村产权流转交易监督管理委员会同意后实施。现阶段的交易品种主要包括：农户承包土地经营权、林权、“四荒”经营权、农村集体经营性资产、农业生产设施设备、小型水利设施使用权、涉农知识产权，以及农村建设项目招标、产业项目招商和转让等其他符合法律、法规和政策要求的交易品种。一定标的额以上的农村集体资产流转按规定进入市场公开交易，工商企业等社会资本流转农村土地和较大规模流转农村土地按规定进场交易，防止暗箱操作。在法律、法规和政策允许框架下，结合农村宅基地制度改革试点，探索农村宅基地和房屋进场租赁交易。</w:t>
      </w:r>
    </w:p>
    <w:p>
      <w:pPr>
        <w:ind w:firstLine="643"/>
        <w:outlineLvl w:val="2"/>
      </w:pPr>
      <w:r>
        <w:rPr>
          <w:rFonts w:hint="eastAsia" w:ascii="楷体_GB2312" w:eastAsia="楷体_GB2312"/>
          <w:b/>
          <w:bCs/>
        </w:rPr>
        <w:t>（六）交易主体。</w:t>
      </w:r>
      <w:r>
        <w:rPr>
          <w:rFonts w:hint="eastAsia"/>
        </w:rPr>
        <w:t>凡是法律、法规和政策没有限制的法人、自然人及个人独资企业、合伙企业等非法人组织均可参与流转交易，具体准入条件按照相关法律、法规和政策执行。农村产权流转交易的出让方应是产权权利人或受托人。对工商企业进场流转交易，应依据相关法律、法规和政策，加强准入监管和风险防范。试点地区应依法依规制定和完善交易主体行为规则，严禁隐瞒信息、操纵交易等违法违规行为，确保交易行为公开、公正、规范。</w:t>
      </w:r>
    </w:p>
    <w:p>
      <w:pPr>
        <w:ind w:firstLine="643"/>
        <w:outlineLvl w:val="2"/>
      </w:pPr>
      <w:r>
        <w:rPr>
          <w:rFonts w:hint="eastAsia" w:ascii="楷体_GB2312" w:eastAsia="楷体_GB2312"/>
          <w:b/>
          <w:bCs/>
        </w:rPr>
        <w:t>（七）交易申请。</w:t>
      </w:r>
      <w:r>
        <w:rPr>
          <w:rFonts w:hint="eastAsia"/>
        </w:rPr>
        <w:t>出让方向农村产权流转交易</w:t>
      </w:r>
      <w:r>
        <w:t>服务机构</w:t>
      </w:r>
      <w:r>
        <w:rPr>
          <w:rFonts w:hint="eastAsia"/>
        </w:rPr>
        <w:t>提交交易申请及相关材料，主要包括农村产权流转交易申请书、出让方主体资格证明、产权权属证明、交易标的基本情况等，并对材料的真实性、有效性承担法律责任。按照农村集体资产管理有关要求，需履行民主决策程序的应提交民主决策材料，需通过审核审批程序的应提交相关审批材料，以及法律、法规和政策规定需要提交的其他材料。</w:t>
      </w:r>
    </w:p>
    <w:p>
      <w:pPr>
        <w:ind w:firstLine="643"/>
        <w:outlineLvl w:val="2"/>
      </w:pPr>
      <w:r>
        <w:rPr>
          <w:rFonts w:hint="eastAsia" w:ascii="楷体_GB2312" w:eastAsia="楷体_GB2312"/>
          <w:b/>
          <w:bCs/>
        </w:rPr>
        <w:t>（八）委托受理。</w:t>
      </w:r>
      <w:r>
        <w:rPr>
          <w:rFonts w:hint="eastAsia"/>
        </w:rPr>
        <w:t>农村产权流转交易</w:t>
      </w:r>
      <w:r>
        <w:t>服务机构</w:t>
      </w:r>
      <w:r>
        <w:rPr>
          <w:rFonts w:hint="eastAsia"/>
        </w:rPr>
        <w:t>按照规范的交易制度，对出让方提交的交易申请材料进行审核，符合法律、法规和政策要求的出让申请予以受理，并明确告知具体受理期限。鼓励农村产权流转交易服务机构为农民群众提供便利化的公益性服务。</w:t>
      </w:r>
    </w:p>
    <w:p>
      <w:pPr>
        <w:ind w:firstLine="643"/>
        <w:outlineLvl w:val="2"/>
      </w:pPr>
      <w:r>
        <w:rPr>
          <w:rFonts w:hint="eastAsia" w:ascii="楷体_GB2312" w:eastAsia="楷体_GB2312"/>
          <w:b/>
          <w:bCs/>
        </w:rPr>
        <w:t>（九）信息公告。</w:t>
      </w:r>
      <w:r>
        <w:rPr>
          <w:rFonts w:hint="eastAsia"/>
        </w:rPr>
        <w:t>农村产权流转交易</w:t>
      </w:r>
      <w:r>
        <w:t>服务机构</w:t>
      </w:r>
      <w:r>
        <w:rPr>
          <w:rFonts w:hint="eastAsia"/>
        </w:rPr>
        <w:t>应通过适当方式公告交易项目基本信息，广泛征集受让需求。信息公告应符合国家法律、法规及相关政策规定，项目信息公告期限原则上应与属地农村经济事务信息公示期相符。</w:t>
      </w:r>
    </w:p>
    <w:p>
      <w:pPr>
        <w:ind w:firstLine="643"/>
        <w:outlineLvl w:val="2"/>
      </w:pPr>
      <w:r>
        <w:rPr>
          <w:rFonts w:hint="eastAsia" w:ascii="楷体_GB2312" w:eastAsia="楷体_GB2312"/>
          <w:b/>
          <w:bCs/>
        </w:rPr>
        <w:t>（十）受让受理。</w:t>
      </w:r>
      <w:r>
        <w:rPr>
          <w:rFonts w:hint="eastAsia"/>
        </w:rPr>
        <w:t>在信息公告期内，意向受让方应向农村产权流转交易</w:t>
      </w:r>
      <w:r>
        <w:t>服务机构</w:t>
      </w:r>
      <w:r>
        <w:rPr>
          <w:rFonts w:hint="eastAsia"/>
        </w:rPr>
        <w:t>提交受让申请相关材料，主要包括受让申请书、受让方主体资格证明、相关权利人或受托人同意受让的有效证明、受让方资信证明及法律、法规和政策规定需要提交的其他材料，并对材料的真实性、有效性承担法律责任。农村产权流转交易</w:t>
      </w:r>
      <w:r>
        <w:t>服务机构</w:t>
      </w:r>
      <w:r>
        <w:rPr>
          <w:rFonts w:hint="eastAsia"/>
        </w:rPr>
        <w:t>应向意向受让方明确告知受让申请的具体受理期限。交易项目设置交易保证金的，应遵守交易保证金法律、法规和相关政策规定。</w:t>
      </w:r>
    </w:p>
    <w:p>
      <w:pPr>
        <w:ind w:firstLine="643"/>
        <w:outlineLvl w:val="2"/>
      </w:pPr>
      <w:r>
        <w:rPr>
          <w:rFonts w:hint="eastAsia" w:ascii="楷体_GB2312" w:eastAsia="楷体_GB2312"/>
          <w:b/>
          <w:bCs/>
        </w:rPr>
        <w:t>（十一）组织交易。</w:t>
      </w:r>
      <w:r>
        <w:rPr>
          <w:rFonts w:hint="eastAsia"/>
        </w:rPr>
        <w:t>农村产权流转交易可以采取公开竞价（包括拍卖、招投标、网络竞价以及其他竞价方式）、协议出让和国家法律、法规规定的其他方式进行。属于政府采购管理范围的，按照政府采购相关法律制度规定执行。属于依法必须招标的工程建设项目，出让方选择招投标交易的，应同时披露评标方法和标准，并按照《中华人民共和国招标投标法》及有关规定组织实施；采取拍卖交易的，应按照《中华人民共和国拍卖法》及有关规定组织实施。成交结果应以适当方式公示。</w:t>
      </w:r>
    </w:p>
    <w:p>
      <w:pPr>
        <w:ind w:firstLine="643"/>
        <w:outlineLvl w:val="2"/>
      </w:pPr>
      <w:r>
        <w:rPr>
          <w:rFonts w:hint="eastAsia" w:ascii="楷体_GB2312" w:eastAsia="楷体_GB2312"/>
          <w:b/>
          <w:bCs/>
        </w:rPr>
        <w:t>（十二）交易中止与终止。</w:t>
      </w:r>
      <w:r>
        <w:rPr>
          <w:rFonts w:hint="eastAsia"/>
        </w:rPr>
        <w:t>出现产权争议、交易纠纷、不可抗力等导致交易无法继续进行的情形，经出让方、受让方或第三方提出申请并经农村产权流转交易服务机构审核通过后，可以中止或终止交易，也可以在符合交易条件时恢复交易。交易中止、终止和恢复都应发布公告。无正当理由申请中止或终止交易，给交易任何一方造成经济损失的，申请人应承担相应法律责任。</w:t>
      </w:r>
    </w:p>
    <w:p>
      <w:pPr>
        <w:ind w:firstLine="643"/>
        <w:outlineLvl w:val="2"/>
      </w:pPr>
      <w:r>
        <w:rPr>
          <w:rFonts w:hint="eastAsia" w:ascii="楷体_GB2312" w:eastAsia="楷体_GB2312"/>
          <w:b/>
          <w:bCs/>
        </w:rPr>
        <w:t>（十三）组织签约。</w:t>
      </w:r>
      <w:r>
        <w:rPr>
          <w:rFonts w:hint="eastAsia"/>
        </w:rPr>
        <w:t>在确定受让方后，交易双方在农村产权流转交易</w:t>
      </w:r>
      <w:r>
        <w:t>服务机构</w:t>
      </w:r>
      <w:r>
        <w:rPr>
          <w:rFonts w:hint="eastAsia"/>
        </w:rPr>
        <w:t>组织下签订流转交易合同。合同签订应遵守国家法律、法规及相关政</w:t>
      </w:r>
      <w:r>
        <w:t>策</w:t>
      </w:r>
      <w:r>
        <w:rPr>
          <w:rFonts w:hint="eastAsia"/>
        </w:rPr>
        <w:t>规定，合同内容应符合出让公告条件。农村土地经营权流转应参照《农村土地经营权出租合同（示范文本）》和《农村土地经营权入股合同（示范文本）》，签订规范合同。交易双方应在确定受让方之后一定期限内完成合同签订，具体期限根据相关交易规则和交易项目实际情况确定。在合同签订后，交易双方选择通过农村产权流转交易</w:t>
      </w:r>
      <w:r>
        <w:t>服务机构</w:t>
      </w:r>
      <w:r>
        <w:rPr>
          <w:rFonts w:hint="eastAsia"/>
        </w:rPr>
        <w:t>结算交易价款的，应根据出让公告和相关交易规则进行价款结算。</w:t>
      </w:r>
    </w:p>
    <w:p>
      <w:pPr>
        <w:ind w:firstLine="643"/>
        <w:outlineLvl w:val="2"/>
      </w:pPr>
      <w:r>
        <w:rPr>
          <w:rFonts w:hint="eastAsia" w:ascii="楷体_GB2312" w:eastAsia="楷体_GB2312"/>
          <w:b/>
          <w:bCs/>
        </w:rPr>
        <w:t>（十四）交易鉴证。</w:t>
      </w:r>
      <w:r>
        <w:rPr>
          <w:rFonts w:hint="eastAsia"/>
        </w:rPr>
        <w:t>农村产权流转交易合同审核通过和签订后，农村产权流转交易</w:t>
      </w:r>
      <w:r>
        <w:t>服务机构</w:t>
      </w:r>
      <w:r>
        <w:rPr>
          <w:rFonts w:hint="eastAsia"/>
        </w:rPr>
        <w:t>应出具产权交易鉴证书。鉴证书内容应能反映项目标的基本信息，且所载内容应与产权出让公告、产权交易合同保持一致。试点地区可结合实际，在法律、法规及相关政策允许框架下，审慎稳妥探索交易鉴证在产权融资抵押合同签订以及动产、知识产权权属变更等方面的有效应用。</w:t>
      </w:r>
    </w:p>
    <w:p>
      <w:pPr>
        <w:ind w:firstLine="643"/>
        <w:outlineLvl w:val="2"/>
      </w:pPr>
      <w:r>
        <w:rPr>
          <w:rFonts w:hint="eastAsia" w:ascii="楷体_GB2312" w:eastAsia="楷体_GB2312"/>
          <w:b/>
          <w:bCs/>
        </w:rPr>
        <w:t>（十五）归档备查。</w:t>
      </w:r>
      <w:r>
        <w:rPr>
          <w:rFonts w:hint="eastAsia"/>
        </w:rPr>
        <w:t>农村产权流转交易完成后，农村产权流转交易</w:t>
      </w:r>
      <w:r>
        <w:t>服务机构</w:t>
      </w:r>
      <w:r>
        <w:rPr>
          <w:rFonts w:hint="eastAsia"/>
        </w:rPr>
        <w:t>应将交易过程中形成的所有具有保存价值的文字、图表、声像、电子数据等原始记录，按照有关档案法规、标准进行收集、整理、归档，并集中统一保管备查。</w:t>
      </w:r>
    </w:p>
    <w:p>
      <w:pPr>
        <w:pStyle w:val="33"/>
        <w:ind w:firstLine="640"/>
        <w:outlineLvl w:val="1"/>
      </w:pPr>
      <w:r>
        <w:rPr>
          <w:rFonts w:hint="eastAsia"/>
        </w:rPr>
        <w:t>三、加强风险防控</w:t>
      </w:r>
    </w:p>
    <w:p>
      <w:pPr>
        <w:ind w:firstLine="643"/>
        <w:outlineLvl w:val="2"/>
      </w:pPr>
      <w:r>
        <w:rPr>
          <w:rFonts w:hint="eastAsia" w:ascii="楷体_GB2312" w:eastAsia="楷体_GB2312"/>
          <w:b/>
          <w:bCs/>
        </w:rPr>
        <w:t>（十六）交易机构内控建设。</w:t>
      </w:r>
      <w:r>
        <w:rPr>
          <w:rFonts w:hint="eastAsia"/>
        </w:rPr>
        <w:t>指导和督促农村产权流转交易服务机构建立健全权责明确的内部监督管理和风险管控制度，制定规范的内部章程、交易资金管理、信息披露、财务管理、风险管理、纠纷调解、数据和档案管理、第三方服务</w:t>
      </w:r>
      <w:r>
        <w:t>行为</w:t>
      </w:r>
      <w:r>
        <w:rPr>
          <w:rFonts w:hint="eastAsia"/>
        </w:rPr>
        <w:t>等规则；加强员工道德教育和自律管理，对关键业务岗位实施重点监督</w:t>
      </w:r>
      <w:r>
        <w:t>；</w:t>
      </w:r>
      <w:r>
        <w:rPr>
          <w:rFonts w:hint="eastAsia"/>
        </w:rPr>
        <w:t>定期向农村产权流转交易监督管理委员会报送经营数据和财务报表等数据信息，并建立信息公开披露制度，在官网公示交易规则及与交易相关制度、交易品种、收费项目和收费标准、经营中发生的重大突发事件等信息。</w:t>
      </w:r>
    </w:p>
    <w:p>
      <w:pPr>
        <w:ind w:firstLine="643"/>
        <w:outlineLvl w:val="2"/>
      </w:pPr>
      <w:r>
        <w:rPr>
          <w:rFonts w:hint="eastAsia" w:eastAsia="楷体_GB2312"/>
          <w:b/>
          <w:bCs/>
        </w:rPr>
        <w:t>（十七）金融服务风险防控</w:t>
      </w:r>
      <w:r>
        <w:rPr>
          <w:rFonts w:hint="eastAsia"/>
          <w:b/>
          <w:bCs/>
        </w:rPr>
        <w:t>。</w:t>
      </w:r>
      <w:r>
        <w:rPr>
          <w:rFonts w:hint="eastAsia"/>
        </w:rPr>
        <w:t>鼓励农村产权流转交易</w:t>
      </w:r>
      <w:r>
        <w:t>服务机构</w:t>
      </w:r>
      <w:r>
        <w:rPr>
          <w:rFonts w:hint="eastAsia"/>
        </w:rPr>
        <w:t>积极对接银行保险机构，与银行保险机构共享信息，为银行保险机构</w:t>
      </w:r>
      <w:r>
        <w:t>开展抵押</w:t>
      </w:r>
      <w:r>
        <w:rPr>
          <w:rFonts w:hint="eastAsia"/>
        </w:rPr>
        <w:t>合同签订</w:t>
      </w:r>
      <w:r>
        <w:t>、</w:t>
      </w:r>
      <w:r>
        <w:rPr>
          <w:rFonts w:hint="eastAsia"/>
        </w:rPr>
        <w:t>抵押物处置</w:t>
      </w:r>
      <w:r>
        <w:t>交易业务提供</w:t>
      </w:r>
      <w:r>
        <w:rPr>
          <w:rFonts w:hint="eastAsia"/>
        </w:rPr>
        <w:t>便利。禁止农村产权流转交易服务机构直接开展保险、信贷等金融业务，严禁开展连续集中竞价交易和非法证券期货活动，不得开展为非标债务融资产品提供登记备案服务等具有金融基础设施属性的业务。严格规范招标投标交易担保行为，严禁巧立名目变相收取没有法律法规依据的保证金或其他费用；推广保函（保险），鼓励使用电子保函，降低电子保函费用；规范保证金收取和退还，不得非法扣押、拖欠、侵占、挪用各类保证金。加强日常交易资金管理，实行专户储存、专账核算、专款使用，切实防止挪用日常交易资金违规开展金融活动。</w:t>
      </w:r>
    </w:p>
    <w:p>
      <w:pPr>
        <w:ind w:firstLine="643"/>
        <w:outlineLvl w:val="2"/>
      </w:pPr>
      <w:r>
        <w:rPr>
          <w:rFonts w:hint="eastAsia" w:eastAsia="楷体_GB2312"/>
          <w:b/>
          <w:bCs/>
        </w:rPr>
        <w:t>（十八）信息系统风险防控。</w:t>
      </w:r>
      <w:r>
        <w:rPr>
          <w:rFonts w:hint="eastAsia"/>
        </w:rPr>
        <w:t>农村产权流转交易</w:t>
      </w:r>
      <w:r>
        <w:t>信息平台建设与运维</w:t>
      </w:r>
      <w:r>
        <w:rPr>
          <w:rFonts w:hint="eastAsia"/>
        </w:rPr>
        <w:t>应严格遵守《中华人民共和国网络安全法》、《中华人民共和国数据安全法》、《中华人民共和国个人信息保护法》、《关键信息基础设施安全保护条例》等有关法律法规规定，健全交易系统日常维护、运行监测、数据备份等机制，按期进行信息安全等级保护测评，加强全流程数据安全管理，严防规模级数据信息泄露，确保系统运行安全稳定。严禁非法处理个人信息。</w:t>
      </w:r>
    </w:p>
    <w:p>
      <w:pPr>
        <w:pStyle w:val="33"/>
        <w:ind w:firstLine="640"/>
        <w:outlineLvl w:val="1"/>
      </w:pPr>
      <w:r>
        <w:rPr>
          <w:rFonts w:hint="eastAsia"/>
        </w:rPr>
        <w:t>四、强化监督管理</w:t>
      </w:r>
    </w:p>
    <w:p>
      <w:pPr>
        <w:ind w:firstLine="643"/>
        <w:outlineLvl w:val="2"/>
      </w:pPr>
      <w:r>
        <w:rPr>
          <w:rFonts w:eastAsia="楷体_GB2312"/>
          <w:b/>
          <w:bCs/>
        </w:rPr>
        <w:t>（</w:t>
      </w:r>
      <w:r>
        <w:rPr>
          <w:rFonts w:hint="eastAsia" w:eastAsia="楷体_GB2312"/>
          <w:b/>
          <w:bCs/>
        </w:rPr>
        <w:t>十九</w:t>
      </w:r>
      <w:r>
        <w:rPr>
          <w:rFonts w:eastAsia="楷体_GB2312"/>
          <w:b/>
          <w:bCs/>
        </w:rPr>
        <w:t>）</w:t>
      </w:r>
      <w:r>
        <w:rPr>
          <w:rFonts w:hint="eastAsia" w:eastAsia="楷体_GB2312"/>
          <w:b/>
          <w:bCs/>
        </w:rPr>
        <w:t>工作机制</w:t>
      </w:r>
      <w:r>
        <w:rPr>
          <w:rFonts w:hint="eastAsia"/>
          <w:b/>
          <w:bCs/>
        </w:rPr>
        <w:t>。</w:t>
      </w:r>
      <w:r>
        <w:rPr>
          <w:rFonts w:hint="eastAsia"/>
        </w:rPr>
        <w:t>落实《国务院办公厅关于引导农村产权流转交易市场健康发展的意见》要求，成立由农业农村部门牵头，有关部门为成员单位的农村产权流转交易监督管理委员会，成员单位原则上包括农业农村、发展改革、财政、自然资源、住房城乡建设、水利、林草、金融、公共资源交易平台整合工作牵头部门等，具体成员单位由地方根据实际情况确定。农村产权流转交易监督管理委员会办公室设在农业农村部门，地方人民政府有明确规定的从其规定。</w:t>
      </w:r>
    </w:p>
    <w:p>
      <w:pPr>
        <w:ind w:firstLine="643"/>
        <w:outlineLvl w:val="2"/>
      </w:pPr>
      <w:r>
        <w:rPr>
          <w:rFonts w:eastAsia="楷体_GB2312"/>
          <w:b/>
          <w:bCs/>
        </w:rPr>
        <w:t>（</w:t>
      </w:r>
      <w:r>
        <w:rPr>
          <w:rFonts w:hint="eastAsia" w:eastAsia="楷体_GB2312"/>
          <w:b/>
          <w:bCs/>
        </w:rPr>
        <w:t>二十</w:t>
      </w:r>
      <w:r>
        <w:rPr>
          <w:rFonts w:eastAsia="楷体_GB2312"/>
          <w:b/>
          <w:bCs/>
        </w:rPr>
        <w:t>）</w:t>
      </w:r>
      <w:r>
        <w:rPr>
          <w:rFonts w:hint="eastAsia" w:eastAsia="楷体_GB2312"/>
          <w:b/>
          <w:bCs/>
        </w:rPr>
        <w:t>工作职责</w:t>
      </w:r>
      <w:r>
        <w:rPr>
          <w:rFonts w:hint="eastAsia"/>
          <w:b/>
          <w:bCs/>
        </w:rPr>
        <w:t>。</w:t>
      </w:r>
      <w:r>
        <w:rPr>
          <w:rFonts w:hint="eastAsia"/>
        </w:rPr>
        <w:t>农村产权流转交易监督管理委员会承担组织协调、政策制定等方面职责，负责对</w:t>
      </w:r>
      <w:r>
        <w:t>本地区农村产权流转交易</w:t>
      </w:r>
      <w:r>
        <w:rPr>
          <w:rFonts w:hint="eastAsia"/>
        </w:rPr>
        <w:t>进行指导和监管。农业农村部门要切实履行监督管理委员会办公室职能，发挥牵头组织协调作用，承担会议召集、沟通联络、督促落实等日常工作职责，协调推进农村产权流转交易重点工作。各成员单位应按照职责分工，指导和推动农村产权流转交易</w:t>
      </w:r>
      <w:r>
        <w:t>服务机构</w:t>
      </w:r>
      <w:r>
        <w:rPr>
          <w:rFonts w:hint="eastAsia"/>
        </w:rPr>
        <w:t>完善制度规则、规范交易行为、提升建设水平。</w:t>
      </w:r>
    </w:p>
    <w:p>
      <w:pPr>
        <w:ind w:firstLine="643"/>
        <w:outlineLvl w:val="2"/>
      </w:pPr>
      <w:r>
        <w:rPr>
          <w:rFonts w:eastAsia="楷体_GB2312"/>
          <w:b/>
          <w:bCs/>
        </w:rPr>
        <w:t>（</w:t>
      </w:r>
      <w:r>
        <w:rPr>
          <w:rFonts w:hint="eastAsia" w:eastAsia="楷体_GB2312"/>
          <w:b/>
          <w:bCs/>
        </w:rPr>
        <w:t>二十一</w:t>
      </w:r>
      <w:r>
        <w:rPr>
          <w:rFonts w:eastAsia="楷体_GB2312"/>
          <w:b/>
          <w:bCs/>
        </w:rPr>
        <w:t>）</w:t>
      </w:r>
      <w:r>
        <w:rPr>
          <w:rFonts w:hint="eastAsia" w:eastAsia="楷体_GB2312"/>
          <w:b/>
          <w:bCs/>
        </w:rPr>
        <w:t>工作制度</w:t>
      </w:r>
      <w:r>
        <w:rPr>
          <w:rFonts w:hint="eastAsia"/>
          <w:b/>
          <w:bCs/>
        </w:rPr>
        <w:t>。</w:t>
      </w:r>
      <w:r>
        <w:rPr>
          <w:rFonts w:hint="eastAsia"/>
        </w:rPr>
        <w:t>农村产权流转交易监督管理委员会应制定完善的议事规则、监管程序等工作制度，充分运用现代信息技术手段，加强对农村产权流转交易动态监测，及时查处各类违法违规交易和容易引发金融风险隐患的行为。应建立农村产权流转交易年度评估制度，每年对当地农村产权流转交易规范运行情况开展自查评估，并向上一级农村产权流转交易监督管理委员会提交年度评估报告。省级农村产权流转交易监督管理委员会每年应向省级人民政府报告工作。</w:t>
      </w:r>
      <w:bookmarkStart w:id="5" w:name="_GoBack"/>
      <w:bookmarkEnd w:id="5"/>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46378"/>
      <w:docPartObj>
        <w:docPartGallery w:val="autotext"/>
      </w:docPartObj>
    </w:sdtPr>
    <w:sdtContent>
      <w:p>
        <w:pPr>
          <w:pStyle w:val="15"/>
          <w:ind w:firstLine="360"/>
          <w:jc w:val="center"/>
        </w:pPr>
        <w:r>
          <w:fldChar w:fldCharType="begin"/>
        </w:r>
        <w:r>
          <w:instrText xml:space="preserve">PAGE   \* MERGEFORMAT</w:instrText>
        </w:r>
        <w:r>
          <w:fldChar w:fldCharType="separate"/>
        </w:r>
        <w:r>
          <w:rPr>
            <w:lang w:val="zh-CN"/>
          </w:rPr>
          <w:t>2</w:t>
        </w:r>
        <w:r>
          <w:fldChar w:fldCharType="end"/>
        </w:r>
      </w:p>
    </w:sdtContent>
  </w:sdt>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6F2"/>
    <w:rsid w:val="00007424"/>
    <w:rsid w:val="00010CAF"/>
    <w:rsid w:val="00014904"/>
    <w:rsid w:val="00022E58"/>
    <w:rsid w:val="00022F16"/>
    <w:rsid w:val="00024730"/>
    <w:rsid w:val="00030DE3"/>
    <w:rsid w:val="00044D8C"/>
    <w:rsid w:val="0004712A"/>
    <w:rsid w:val="00047F9F"/>
    <w:rsid w:val="00052C8D"/>
    <w:rsid w:val="00057846"/>
    <w:rsid w:val="00057A7E"/>
    <w:rsid w:val="000635A8"/>
    <w:rsid w:val="00065F82"/>
    <w:rsid w:val="000746A0"/>
    <w:rsid w:val="000816E8"/>
    <w:rsid w:val="00081D68"/>
    <w:rsid w:val="00086345"/>
    <w:rsid w:val="00087BAA"/>
    <w:rsid w:val="000925C3"/>
    <w:rsid w:val="000955AB"/>
    <w:rsid w:val="00097BDF"/>
    <w:rsid w:val="000A110B"/>
    <w:rsid w:val="000A2477"/>
    <w:rsid w:val="000A4513"/>
    <w:rsid w:val="000C2227"/>
    <w:rsid w:val="000C233A"/>
    <w:rsid w:val="000C29C5"/>
    <w:rsid w:val="000D273D"/>
    <w:rsid w:val="000D2A22"/>
    <w:rsid w:val="000D50CE"/>
    <w:rsid w:val="000E1FBE"/>
    <w:rsid w:val="000E2B84"/>
    <w:rsid w:val="000E41AB"/>
    <w:rsid w:val="000E4A21"/>
    <w:rsid w:val="000E64B2"/>
    <w:rsid w:val="000E6BB1"/>
    <w:rsid w:val="000E7C0C"/>
    <w:rsid w:val="000F0B26"/>
    <w:rsid w:val="000F1582"/>
    <w:rsid w:val="000F3D6B"/>
    <w:rsid w:val="000F3E62"/>
    <w:rsid w:val="000F6E8F"/>
    <w:rsid w:val="00101E83"/>
    <w:rsid w:val="001072EC"/>
    <w:rsid w:val="00110685"/>
    <w:rsid w:val="0011643D"/>
    <w:rsid w:val="0012507C"/>
    <w:rsid w:val="001255DB"/>
    <w:rsid w:val="0013256F"/>
    <w:rsid w:val="0013656B"/>
    <w:rsid w:val="00137E67"/>
    <w:rsid w:val="001602B8"/>
    <w:rsid w:val="001613D8"/>
    <w:rsid w:val="0016283B"/>
    <w:rsid w:val="00163CB1"/>
    <w:rsid w:val="00170C02"/>
    <w:rsid w:val="001916E6"/>
    <w:rsid w:val="001943BA"/>
    <w:rsid w:val="001B51F5"/>
    <w:rsid w:val="001B7EB2"/>
    <w:rsid w:val="001C19FA"/>
    <w:rsid w:val="001C2E46"/>
    <w:rsid w:val="001C436F"/>
    <w:rsid w:val="001D145A"/>
    <w:rsid w:val="001D2398"/>
    <w:rsid w:val="001D42AE"/>
    <w:rsid w:val="001D78FA"/>
    <w:rsid w:val="001D79B3"/>
    <w:rsid w:val="001E5152"/>
    <w:rsid w:val="001F77AF"/>
    <w:rsid w:val="00222475"/>
    <w:rsid w:val="00224350"/>
    <w:rsid w:val="00241549"/>
    <w:rsid w:val="00241ADC"/>
    <w:rsid w:val="00247664"/>
    <w:rsid w:val="00250DBB"/>
    <w:rsid w:val="00256A77"/>
    <w:rsid w:val="00257A01"/>
    <w:rsid w:val="00262280"/>
    <w:rsid w:val="0026768B"/>
    <w:rsid w:val="00270005"/>
    <w:rsid w:val="002752C1"/>
    <w:rsid w:val="00282176"/>
    <w:rsid w:val="00286752"/>
    <w:rsid w:val="00297306"/>
    <w:rsid w:val="002A0439"/>
    <w:rsid w:val="002A07FB"/>
    <w:rsid w:val="002A5F68"/>
    <w:rsid w:val="002A65F1"/>
    <w:rsid w:val="002B4257"/>
    <w:rsid w:val="002C05BC"/>
    <w:rsid w:val="002C3B05"/>
    <w:rsid w:val="002C4E96"/>
    <w:rsid w:val="002C6A13"/>
    <w:rsid w:val="002D1480"/>
    <w:rsid w:val="002F3E3B"/>
    <w:rsid w:val="003024B9"/>
    <w:rsid w:val="003027A8"/>
    <w:rsid w:val="00304142"/>
    <w:rsid w:val="003145B1"/>
    <w:rsid w:val="00320783"/>
    <w:rsid w:val="003232BC"/>
    <w:rsid w:val="00331044"/>
    <w:rsid w:val="003339E9"/>
    <w:rsid w:val="003351E0"/>
    <w:rsid w:val="0034567F"/>
    <w:rsid w:val="00354730"/>
    <w:rsid w:val="003561F3"/>
    <w:rsid w:val="00360774"/>
    <w:rsid w:val="003671BC"/>
    <w:rsid w:val="00367812"/>
    <w:rsid w:val="00376657"/>
    <w:rsid w:val="0037706A"/>
    <w:rsid w:val="00377B59"/>
    <w:rsid w:val="003801E4"/>
    <w:rsid w:val="003955B7"/>
    <w:rsid w:val="003A1964"/>
    <w:rsid w:val="003A7303"/>
    <w:rsid w:val="003B4EE0"/>
    <w:rsid w:val="003B50F0"/>
    <w:rsid w:val="003C1DB3"/>
    <w:rsid w:val="003C2369"/>
    <w:rsid w:val="003C45AE"/>
    <w:rsid w:val="003C57AF"/>
    <w:rsid w:val="003C7975"/>
    <w:rsid w:val="003D4D20"/>
    <w:rsid w:val="003D50F6"/>
    <w:rsid w:val="003E1530"/>
    <w:rsid w:val="003E4358"/>
    <w:rsid w:val="003E766C"/>
    <w:rsid w:val="003F2A3C"/>
    <w:rsid w:val="00413DA5"/>
    <w:rsid w:val="004278B0"/>
    <w:rsid w:val="00431B25"/>
    <w:rsid w:val="00435CAC"/>
    <w:rsid w:val="0044241D"/>
    <w:rsid w:val="0044691E"/>
    <w:rsid w:val="00451DBD"/>
    <w:rsid w:val="0045297B"/>
    <w:rsid w:val="00457455"/>
    <w:rsid w:val="00457469"/>
    <w:rsid w:val="0046013C"/>
    <w:rsid w:val="0046304F"/>
    <w:rsid w:val="0046783A"/>
    <w:rsid w:val="00467E57"/>
    <w:rsid w:val="00472E02"/>
    <w:rsid w:val="0047488C"/>
    <w:rsid w:val="0048052A"/>
    <w:rsid w:val="00485F88"/>
    <w:rsid w:val="004A2790"/>
    <w:rsid w:val="004A4091"/>
    <w:rsid w:val="004C2B48"/>
    <w:rsid w:val="004C3D24"/>
    <w:rsid w:val="004C56F7"/>
    <w:rsid w:val="004C5F1F"/>
    <w:rsid w:val="004D33FD"/>
    <w:rsid w:val="004D3B73"/>
    <w:rsid w:val="004D4A8D"/>
    <w:rsid w:val="004F0080"/>
    <w:rsid w:val="004F238F"/>
    <w:rsid w:val="004F2AC8"/>
    <w:rsid w:val="0050294C"/>
    <w:rsid w:val="00507A85"/>
    <w:rsid w:val="00523B41"/>
    <w:rsid w:val="00530886"/>
    <w:rsid w:val="00530974"/>
    <w:rsid w:val="0053460F"/>
    <w:rsid w:val="00543CAD"/>
    <w:rsid w:val="00546C6A"/>
    <w:rsid w:val="005476F8"/>
    <w:rsid w:val="005530B6"/>
    <w:rsid w:val="005554D1"/>
    <w:rsid w:val="00560C43"/>
    <w:rsid w:val="005644FA"/>
    <w:rsid w:val="0056541E"/>
    <w:rsid w:val="00570952"/>
    <w:rsid w:val="00572AB8"/>
    <w:rsid w:val="0058300A"/>
    <w:rsid w:val="00590A0D"/>
    <w:rsid w:val="005A02B5"/>
    <w:rsid w:val="005B5CDE"/>
    <w:rsid w:val="005C4EEA"/>
    <w:rsid w:val="005D36DC"/>
    <w:rsid w:val="005D4CE7"/>
    <w:rsid w:val="005D4ECE"/>
    <w:rsid w:val="005F0EB7"/>
    <w:rsid w:val="005F6B04"/>
    <w:rsid w:val="00604D77"/>
    <w:rsid w:val="00610D79"/>
    <w:rsid w:val="00613A9B"/>
    <w:rsid w:val="00615A17"/>
    <w:rsid w:val="0062271B"/>
    <w:rsid w:val="00627688"/>
    <w:rsid w:val="00637ADD"/>
    <w:rsid w:val="00645127"/>
    <w:rsid w:val="006479A2"/>
    <w:rsid w:val="0065477A"/>
    <w:rsid w:val="00660431"/>
    <w:rsid w:val="006670CD"/>
    <w:rsid w:val="0067186B"/>
    <w:rsid w:val="00674152"/>
    <w:rsid w:val="00686648"/>
    <w:rsid w:val="006902CE"/>
    <w:rsid w:val="00690324"/>
    <w:rsid w:val="006943D9"/>
    <w:rsid w:val="00696875"/>
    <w:rsid w:val="00696CCA"/>
    <w:rsid w:val="006A0486"/>
    <w:rsid w:val="006A3635"/>
    <w:rsid w:val="006A7CA0"/>
    <w:rsid w:val="006B1E26"/>
    <w:rsid w:val="006C5500"/>
    <w:rsid w:val="006E1F15"/>
    <w:rsid w:val="006E2B6A"/>
    <w:rsid w:val="006E488D"/>
    <w:rsid w:val="006E5654"/>
    <w:rsid w:val="0070536F"/>
    <w:rsid w:val="00705D52"/>
    <w:rsid w:val="00707E2E"/>
    <w:rsid w:val="00723957"/>
    <w:rsid w:val="00724F1B"/>
    <w:rsid w:val="007268E0"/>
    <w:rsid w:val="00732A6D"/>
    <w:rsid w:val="0073481B"/>
    <w:rsid w:val="00734961"/>
    <w:rsid w:val="00744B95"/>
    <w:rsid w:val="00744F6F"/>
    <w:rsid w:val="00746B90"/>
    <w:rsid w:val="00746EB2"/>
    <w:rsid w:val="00751C6E"/>
    <w:rsid w:val="00753133"/>
    <w:rsid w:val="00754B4E"/>
    <w:rsid w:val="007574D1"/>
    <w:rsid w:val="00760130"/>
    <w:rsid w:val="00767C25"/>
    <w:rsid w:val="007714CF"/>
    <w:rsid w:val="00773AB9"/>
    <w:rsid w:val="00774649"/>
    <w:rsid w:val="00777809"/>
    <w:rsid w:val="00781A6E"/>
    <w:rsid w:val="00781E5F"/>
    <w:rsid w:val="007833B0"/>
    <w:rsid w:val="007A480D"/>
    <w:rsid w:val="007A5EB9"/>
    <w:rsid w:val="007B1468"/>
    <w:rsid w:val="007B5EB0"/>
    <w:rsid w:val="007C065D"/>
    <w:rsid w:val="007C4CB2"/>
    <w:rsid w:val="007C7818"/>
    <w:rsid w:val="007D748A"/>
    <w:rsid w:val="007E246E"/>
    <w:rsid w:val="007F1D67"/>
    <w:rsid w:val="00802C71"/>
    <w:rsid w:val="00804AA8"/>
    <w:rsid w:val="00805988"/>
    <w:rsid w:val="0081391A"/>
    <w:rsid w:val="0081623C"/>
    <w:rsid w:val="0083279F"/>
    <w:rsid w:val="00832C5B"/>
    <w:rsid w:val="008359E6"/>
    <w:rsid w:val="00842E15"/>
    <w:rsid w:val="00844040"/>
    <w:rsid w:val="00845321"/>
    <w:rsid w:val="00853DD0"/>
    <w:rsid w:val="00864964"/>
    <w:rsid w:val="0086569C"/>
    <w:rsid w:val="0087017D"/>
    <w:rsid w:val="008706C5"/>
    <w:rsid w:val="00871494"/>
    <w:rsid w:val="008819A1"/>
    <w:rsid w:val="00884E43"/>
    <w:rsid w:val="0088506B"/>
    <w:rsid w:val="00885FE0"/>
    <w:rsid w:val="00886517"/>
    <w:rsid w:val="008B1139"/>
    <w:rsid w:val="008B3935"/>
    <w:rsid w:val="008B4322"/>
    <w:rsid w:val="008B5D7F"/>
    <w:rsid w:val="008C3C52"/>
    <w:rsid w:val="008C3E26"/>
    <w:rsid w:val="008C6A75"/>
    <w:rsid w:val="008D204B"/>
    <w:rsid w:val="008D3528"/>
    <w:rsid w:val="008D466A"/>
    <w:rsid w:val="008D598E"/>
    <w:rsid w:val="008D5B23"/>
    <w:rsid w:val="008E537E"/>
    <w:rsid w:val="008F29EB"/>
    <w:rsid w:val="008F45C6"/>
    <w:rsid w:val="008F6A3D"/>
    <w:rsid w:val="00911DB3"/>
    <w:rsid w:val="00921C3C"/>
    <w:rsid w:val="00926AB9"/>
    <w:rsid w:val="00937669"/>
    <w:rsid w:val="00942A3F"/>
    <w:rsid w:val="0094488D"/>
    <w:rsid w:val="00947B72"/>
    <w:rsid w:val="00953752"/>
    <w:rsid w:val="00954C24"/>
    <w:rsid w:val="0096606A"/>
    <w:rsid w:val="00971D7A"/>
    <w:rsid w:val="00973B56"/>
    <w:rsid w:val="00974AE1"/>
    <w:rsid w:val="00976B92"/>
    <w:rsid w:val="00980594"/>
    <w:rsid w:val="00980ADC"/>
    <w:rsid w:val="00984534"/>
    <w:rsid w:val="0098636F"/>
    <w:rsid w:val="009865D5"/>
    <w:rsid w:val="00986D50"/>
    <w:rsid w:val="009878DD"/>
    <w:rsid w:val="009A56E7"/>
    <w:rsid w:val="009B4608"/>
    <w:rsid w:val="009C0015"/>
    <w:rsid w:val="009D1825"/>
    <w:rsid w:val="009D528F"/>
    <w:rsid w:val="009D754D"/>
    <w:rsid w:val="009D7EA4"/>
    <w:rsid w:val="009E339F"/>
    <w:rsid w:val="009E6935"/>
    <w:rsid w:val="009E7A4F"/>
    <w:rsid w:val="009F03C8"/>
    <w:rsid w:val="009F27A1"/>
    <w:rsid w:val="009F5821"/>
    <w:rsid w:val="00A1280A"/>
    <w:rsid w:val="00A1627E"/>
    <w:rsid w:val="00A22B84"/>
    <w:rsid w:val="00A41076"/>
    <w:rsid w:val="00A55E1A"/>
    <w:rsid w:val="00A5667F"/>
    <w:rsid w:val="00A637F9"/>
    <w:rsid w:val="00A66757"/>
    <w:rsid w:val="00A77D29"/>
    <w:rsid w:val="00A9686A"/>
    <w:rsid w:val="00A97109"/>
    <w:rsid w:val="00AA310A"/>
    <w:rsid w:val="00AA4E50"/>
    <w:rsid w:val="00AB05A7"/>
    <w:rsid w:val="00AB064D"/>
    <w:rsid w:val="00AB7DC2"/>
    <w:rsid w:val="00AC47BD"/>
    <w:rsid w:val="00AC7ED6"/>
    <w:rsid w:val="00AD00A9"/>
    <w:rsid w:val="00AD4FE8"/>
    <w:rsid w:val="00AD592A"/>
    <w:rsid w:val="00AD692B"/>
    <w:rsid w:val="00AE2E1C"/>
    <w:rsid w:val="00AF118C"/>
    <w:rsid w:val="00AF445F"/>
    <w:rsid w:val="00AF4F9D"/>
    <w:rsid w:val="00AF4FC0"/>
    <w:rsid w:val="00AF52C2"/>
    <w:rsid w:val="00AF6848"/>
    <w:rsid w:val="00AF6B07"/>
    <w:rsid w:val="00B00676"/>
    <w:rsid w:val="00B04A40"/>
    <w:rsid w:val="00B04E78"/>
    <w:rsid w:val="00B11901"/>
    <w:rsid w:val="00B121B6"/>
    <w:rsid w:val="00B13F45"/>
    <w:rsid w:val="00B34B19"/>
    <w:rsid w:val="00B34F9B"/>
    <w:rsid w:val="00B53D5A"/>
    <w:rsid w:val="00B543F5"/>
    <w:rsid w:val="00B56280"/>
    <w:rsid w:val="00B573DD"/>
    <w:rsid w:val="00B60EE5"/>
    <w:rsid w:val="00B64B49"/>
    <w:rsid w:val="00B650AA"/>
    <w:rsid w:val="00B66988"/>
    <w:rsid w:val="00B706F2"/>
    <w:rsid w:val="00B71051"/>
    <w:rsid w:val="00B7400F"/>
    <w:rsid w:val="00B94293"/>
    <w:rsid w:val="00B96D44"/>
    <w:rsid w:val="00BA1055"/>
    <w:rsid w:val="00BA395F"/>
    <w:rsid w:val="00BA6924"/>
    <w:rsid w:val="00BA6A0E"/>
    <w:rsid w:val="00BB0224"/>
    <w:rsid w:val="00BC5E5A"/>
    <w:rsid w:val="00BC6502"/>
    <w:rsid w:val="00BC7EF5"/>
    <w:rsid w:val="00BD2425"/>
    <w:rsid w:val="00BD5394"/>
    <w:rsid w:val="00BD5C82"/>
    <w:rsid w:val="00BE332D"/>
    <w:rsid w:val="00BE5F77"/>
    <w:rsid w:val="00BF1FD1"/>
    <w:rsid w:val="00BF4095"/>
    <w:rsid w:val="00BF56F2"/>
    <w:rsid w:val="00C007F1"/>
    <w:rsid w:val="00C013CE"/>
    <w:rsid w:val="00C033DC"/>
    <w:rsid w:val="00C0675F"/>
    <w:rsid w:val="00C12027"/>
    <w:rsid w:val="00C15ABB"/>
    <w:rsid w:val="00C209E5"/>
    <w:rsid w:val="00C20E93"/>
    <w:rsid w:val="00C3349E"/>
    <w:rsid w:val="00C337B0"/>
    <w:rsid w:val="00C42594"/>
    <w:rsid w:val="00C42E83"/>
    <w:rsid w:val="00C43268"/>
    <w:rsid w:val="00C464FF"/>
    <w:rsid w:val="00C524EA"/>
    <w:rsid w:val="00C538CA"/>
    <w:rsid w:val="00C54585"/>
    <w:rsid w:val="00C60491"/>
    <w:rsid w:val="00C61541"/>
    <w:rsid w:val="00C7179E"/>
    <w:rsid w:val="00C747B2"/>
    <w:rsid w:val="00C77851"/>
    <w:rsid w:val="00C8306E"/>
    <w:rsid w:val="00C837CE"/>
    <w:rsid w:val="00C85B86"/>
    <w:rsid w:val="00C93F0F"/>
    <w:rsid w:val="00C95739"/>
    <w:rsid w:val="00CA0193"/>
    <w:rsid w:val="00CA0412"/>
    <w:rsid w:val="00CA55A3"/>
    <w:rsid w:val="00CB08CA"/>
    <w:rsid w:val="00CB1BD3"/>
    <w:rsid w:val="00CB2323"/>
    <w:rsid w:val="00CB4A47"/>
    <w:rsid w:val="00CC2B22"/>
    <w:rsid w:val="00CC2CBB"/>
    <w:rsid w:val="00CC4BC2"/>
    <w:rsid w:val="00CC57C0"/>
    <w:rsid w:val="00CE6505"/>
    <w:rsid w:val="00CE666F"/>
    <w:rsid w:val="00CF0AA5"/>
    <w:rsid w:val="00CF261C"/>
    <w:rsid w:val="00CF3853"/>
    <w:rsid w:val="00CF531B"/>
    <w:rsid w:val="00CF75B6"/>
    <w:rsid w:val="00D11E2D"/>
    <w:rsid w:val="00D226A4"/>
    <w:rsid w:val="00D22B50"/>
    <w:rsid w:val="00D23E81"/>
    <w:rsid w:val="00D3392F"/>
    <w:rsid w:val="00D373D4"/>
    <w:rsid w:val="00D4253D"/>
    <w:rsid w:val="00D42CCC"/>
    <w:rsid w:val="00D43C2E"/>
    <w:rsid w:val="00D45B0B"/>
    <w:rsid w:val="00D56C1E"/>
    <w:rsid w:val="00D57601"/>
    <w:rsid w:val="00D57D2F"/>
    <w:rsid w:val="00D642B0"/>
    <w:rsid w:val="00D64BAF"/>
    <w:rsid w:val="00D65F64"/>
    <w:rsid w:val="00D72086"/>
    <w:rsid w:val="00D72535"/>
    <w:rsid w:val="00D750EC"/>
    <w:rsid w:val="00D76C96"/>
    <w:rsid w:val="00D82C0A"/>
    <w:rsid w:val="00D84C0D"/>
    <w:rsid w:val="00D95C0A"/>
    <w:rsid w:val="00D96040"/>
    <w:rsid w:val="00DA78B5"/>
    <w:rsid w:val="00DB1802"/>
    <w:rsid w:val="00DB4410"/>
    <w:rsid w:val="00DB4F56"/>
    <w:rsid w:val="00DB4F58"/>
    <w:rsid w:val="00DC59FC"/>
    <w:rsid w:val="00DD5F81"/>
    <w:rsid w:val="00DE3049"/>
    <w:rsid w:val="00DE4C5E"/>
    <w:rsid w:val="00DF5046"/>
    <w:rsid w:val="00DF6E0D"/>
    <w:rsid w:val="00E008EF"/>
    <w:rsid w:val="00E01FEE"/>
    <w:rsid w:val="00E03023"/>
    <w:rsid w:val="00E03864"/>
    <w:rsid w:val="00E118A3"/>
    <w:rsid w:val="00E15E49"/>
    <w:rsid w:val="00E166FA"/>
    <w:rsid w:val="00E16B2C"/>
    <w:rsid w:val="00E300AF"/>
    <w:rsid w:val="00E31C72"/>
    <w:rsid w:val="00E35F08"/>
    <w:rsid w:val="00E373E2"/>
    <w:rsid w:val="00E4604B"/>
    <w:rsid w:val="00E578A0"/>
    <w:rsid w:val="00E6738D"/>
    <w:rsid w:val="00E67754"/>
    <w:rsid w:val="00E67A39"/>
    <w:rsid w:val="00E863A5"/>
    <w:rsid w:val="00E86798"/>
    <w:rsid w:val="00E92B1C"/>
    <w:rsid w:val="00E92CA6"/>
    <w:rsid w:val="00EA4010"/>
    <w:rsid w:val="00EA532B"/>
    <w:rsid w:val="00EA65D5"/>
    <w:rsid w:val="00EB5A8E"/>
    <w:rsid w:val="00ED2346"/>
    <w:rsid w:val="00ED31A9"/>
    <w:rsid w:val="00ED6320"/>
    <w:rsid w:val="00EE0AAC"/>
    <w:rsid w:val="00EE0EDB"/>
    <w:rsid w:val="00EE12AA"/>
    <w:rsid w:val="00EE7884"/>
    <w:rsid w:val="00EF3B31"/>
    <w:rsid w:val="00EF4CA8"/>
    <w:rsid w:val="00EF5B0A"/>
    <w:rsid w:val="00EF764E"/>
    <w:rsid w:val="00F000FD"/>
    <w:rsid w:val="00F03D52"/>
    <w:rsid w:val="00F13802"/>
    <w:rsid w:val="00F16A8F"/>
    <w:rsid w:val="00F20518"/>
    <w:rsid w:val="00F21D1F"/>
    <w:rsid w:val="00F273CA"/>
    <w:rsid w:val="00F323C2"/>
    <w:rsid w:val="00F36FE1"/>
    <w:rsid w:val="00F40630"/>
    <w:rsid w:val="00F47C79"/>
    <w:rsid w:val="00F566F2"/>
    <w:rsid w:val="00F600CF"/>
    <w:rsid w:val="00F62E80"/>
    <w:rsid w:val="00F63488"/>
    <w:rsid w:val="00F67804"/>
    <w:rsid w:val="00F716DD"/>
    <w:rsid w:val="00F73738"/>
    <w:rsid w:val="00F73C26"/>
    <w:rsid w:val="00F80DB9"/>
    <w:rsid w:val="00F91222"/>
    <w:rsid w:val="00F9430E"/>
    <w:rsid w:val="00FA0BE1"/>
    <w:rsid w:val="00FB5D57"/>
    <w:rsid w:val="00FB6328"/>
    <w:rsid w:val="00FC1429"/>
    <w:rsid w:val="00FC328B"/>
    <w:rsid w:val="00FC37AE"/>
    <w:rsid w:val="00FC3D5E"/>
    <w:rsid w:val="00FC4CC9"/>
    <w:rsid w:val="00FC5C90"/>
    <w:rsid w:val="00FC6F1D"/>
    <w:rsid w:val="00FD3A17"/>
    <w:rsid w:val="00FD5C9F"/>
    <w:rsid w:val="00FE0632"/>
    <w:rsid w:val="00FE39F9"/>
    <w:rsid w:val="00FE49D3"/>
    <w:rsid w:val="00FE710C"/>
    <w:rsid w:val="00FF040C"/>
    <w:rsid w:val="00FF0DB4"/>
    <w:rsid w:val="03B01858"/>
    <w:rsid w:val="06157E92"/>
    <w:rsid w:val="12A81AFB"/>
    <w:rsid w:val="1D5031A0"/>
    <w:rsid w:val="237F7D39"/>
    <w:rsid w:val="23EAAAEF"/>
    <w:rsid w:val="24EA0AD3"/>
    <w:rsid w:val="28861B45"/>
    <w:rsid w:val="36A922EB"/>
    <w:rsid w:val="3BFA3561"/>
    <w:rsid w:val="3D7A70D8"/>
    <w:rsid w:val="43461CD8"/>
    <w:rsid w:val="4E44737E"/>
    <w:rsid w:val="52C356F7"/>
    <w:rsid w:val="54092B3C"/>
    <w:rsid w:val="57E75161"/>
    <w:rsid w:val="5AEC0A8A"/>
    <w:rsid w:val="677EA37E"/>
    <w:rsid w:val="71EF2B6D"/>
    <w:rsid w:val="73AE066B"/>
    <w:rsid w:val="761A914E"/>
    <w:rsid w:val="7EFEAAC8"/>
    <w:rsid w:val="7FEE6FB5"/>
    <w:rsid w:val="ABA7238A"/>
    <w:rsid w:val="BEFDEFE8"/>
    <w:rsid w:val="F38D3E98"/>
    <w:rsid w:val="FEF71465"/>
    <w:rsid w:val="FFFFA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9" w:semiHidden="0" w:name="heading 2"/>
    <w:lsdException w:uiPriority="0" w:name="heading 3"/>
    <w:lsdException w:uiPriority="9" w:semiHidden="0" w:name="heading 4"/>
    <w:lsdException w:uiPriority="9" w:semiHidden="0" w:name="heading 5"/>
    <w:lsdException w:qFormat="1" w:uiPriority="9" w:semiHidden="0" w:name="heading 6"/>
    <w:lsdException w:uiPriority="9" w:semiHidden="0" w:name="heading 7"/>
    <w:lsdException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link w:val="45"/>
    <w:uiPriority w:val="0"/>
    <w:pPr>
      <w:keepNext/>
      <w:keepLines/>
      <w:spacing w:before="340" w:after="330" w:line="578" w:lineRule="auto"/>
      <w:outlineLvl w:val="0"/>
    </w:pPr>
    <w:rPr>
      <w:b/>
      <w:bCs/>
      <w:kern w:val="44"/>
      <w:sz w:val="44"/>
      <w:szCs w:val="44"/>
    </w:rPr>
  </w:style>
  <w:style w:type="paragraph" w:styleId="3">
    <w:name w:val="heading 2"/>
    <w:basedOn w:val="1"/>
    <w:next w:val="1"/>
    <w:uiPriority w:val="9"/>
    <w:pPr>
      <w:keepNext/>
      <w:keepLines/>
      <w:spacing w:line="600" w:lineRule="exact"/>
      <w:ind w:firstLine="420"/>
      <w:outlineLvl w:val="1"/>
    </w:pPr>
    <w:rPr>
      <w:rFonts w:ascii="Cambria" w:hAnsi="Cambria" w:eastAsia="黑体"/>
      <w:bCs/>
    </w:rPr>
  </w:style>
  <w:style w:type="paragraph" w:styleId="4">
    <w:name w:val="heading 4"/>
    <w:basedOn w:val="1"/>
    <w:next w:val="1"/>
    <w:link w:val="39"/>
    <w:unhideWhenUs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40"/>
    <w:unhideWhenUsed/>
    <w:uiPriority w:val="9"/>
    <w:pPr>
      <w:keepNext/>
      <w:keepLines/>
      <w:spacing w:before="280" w:after="290" w:line="376" w:lineRule="auto"/>
      <w:outlineLvl w:val="4"/>
    </w:pPr>
    <w:rPr>
      <w:b/>
      <w:bCs/>
      <w:sz w:val="28"/>
      <w:szCs w:val="28"/>
    </w:rPr>
  </w:style>
  <w:style w:type="paragraph" w:styleId="6">
    <w:name w:val="heading 6"/>
    <w:basedOn w:val="1"/>
    <w:next w:val="1"/>
    <w:link w:val="4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7">
    <w:name w:val="heading 7"/>
    <w:basedOn w:val="1"/>
    <w:next w:val="1"/>
    <w:link w:val="42"/>
    <w:unhideWhenUsed/>
    <w:uiPriority w:val="9"/>
    <w:pPr>
      <w:keepNext/>
      <w:keepLines/>
      <w:spacing w:before="240" w:after="64" w:line="320" w:lineRule="auto"/>
      <w:outlineLvl w:val="6"/>
    </w:pPr>
    <w:rPr>
      <w:b/>
      <w:bCs/>
      <w:sz w:val="24"/>
      <w:szCs w:val="24"/>
    </w:rPr>
  </w:style>
  <w:style w:type="paragraph" w:styleId="8">
    <w:name w:val="heading 8"/>
    <w:basedOn w:val="1"/>
    <w:next w:val="1"/>
    <w:link w:val="43"/>
    <w:unhideWhenUsed/>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9">
    <w:name w:val="heading 9"/>
    <w:basedOn w:val="1"/>
    <w:next w:val="1"/>
    <w:link w:val="44"/>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unhideWhenUsed/>
    <w:qFormat/>
    <w:uiPriority w:val="35"/>
    <w:rPr>
      <w:rFonts w:eastAsia="黑体" w:asciiTheme="majorHAnsi" w:hAnsiTheme="majorHAnsi" w:cstheme="majorBidi"/>
      <w:sz w:val="20"/>
      <w:szCs w:val="20"/>
    </w:rPr>
  </w:style>
  <w:style w:type="paragraph" w:styleId="11">
    <w:name w:val="annotation text"/>
    <w:basedOn w:val="1"/>
    <w:link w:val="31"/>
    <w:qFormat/>
    <w:uiPriority w:val="0"/>
    <w:pPr>
      <w:jc w:val="left"/>
    </w:pPr>
  </w:style>
  <w:style w:type="paragraph" w:styleId="12">
    <w:name w:val="Body Text"/>
    <w:basedOn w:val="1"/>
    <w:link w:val="55"/>
    <w:unhideWhenUsed/>
    <w:qFormat/>
    <w:uiPriority w:val="99"/>
    <w:pPr>
      <w:spacing w:after="120"/>
    </w:pPr>
  </w:style>
  <w:style w:type="paragraph" w:styleId="13">
    <w:name w:val="Plain Text"/>
    <w:basedOn w:val="1"/>
    <w:link w:val="51"/>
    <w:uiPriority w:val="0"/>
    <w:rPr>
      <w:rFonts w:ascii="宋体" w:hAnsi="Courier New" w:eastAsia="宋体" w:cs="Times New Roman"/>
      <w:sz w:val="24"/>
    </w:rPr>
  </w:style>
  <w:style w:type="paragraph" w:styleId="14">
    <w:name w:val="Balloon Text"/>
    <w:basedOn w:val="1"/>
    <w:link w:val="23"/>
    <w:uiPriority w:val="0"/>
    <w:rPr>
      <w:sz w:val="18"/>
      <w:szCs w:val="18"/>
    </w:rPr>
  </w:style>
  <w:style w:type="paragraph" w:styleId="15">
    <w:name w:val="footer"/>
    <w:basedOn w:val="1"/>
    <w:link w:val="30"/>
    <w:qFormat/>
    <w:uiPriority w:val="99"/>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Normal (Web)"/>
    <w:basedOn w:val="1"/>
    <w:qFormat/>
    <w:uiPriority w:val="0"/>
    <w:pPr>
      <w:spacing w:before="100" w:beforeAutospacing="1" w:after="100" w:afterAutospacing="1"/>
      <w:jc w:val="left"/>
    </w:pPr>
    <w:rPr>
      <w:rFonts w:cs="Times New Roman"/>
      <w:kern w:val="0"/>
      <w:sz w:val="24"/>
    </w:rPr>
  </w:style>
  <w:style w:type="paragraph" w:styleId="18">
    <w:name w:val="annotation subject"/>
    <w:basedOn w:val="11"/>
    <w:next w:val="11"/>
    <w:link w:val="32"/>
    <w:uiPriority w:val="0"/>
    <w:rPr>
      <w:b/>
      <w:bCs/>
    </w:rPr>
  </w:style>
  <w:style w:type="character" w:styleId="21">
    <w:name w:val="annotation reference"/>
    <w:basedOn w:val="20"/>
    <w:uiPriority w:val="0"/>
    <w:rPr>
      <w:sz w:val="21"/>
      <w:szCs w:val="21"/>
    </w:rPr>
  </w:style>
  <w:style w:type="paragraph" w:customStyle="1" w:styleId="22">
    <w:name w:val="内文样式"/>
    <w:uiPriority w:val="0"/>
    <w:pPr>
      <w:widowControl w:val="0"/>
      <w:overflowPunct w:val="0"/>
      <w:topLinePunct/>
      <w:spacing w:line="340" w:lineRule="exact"/>
      <w:ind w:firstLine="200" w:firstLineChars="200"/>
      <w:jc w:val="both"/>
    </w:pPr>
    <w:rPr>
      <w:rFonts w:asciiTheme="minorHAnsi" w:hAnsiTheme="minorHAnsi" w:eastAsiaTheme="minorEastAsia" w:cstheme="minorBidi"/>
      <w:kern w:val="2"/>
      <w:sz w:val="21"/>
      <w:szCs w:val="21"/>
      <w:lang w:val="en-US" w:eastAsia="zh-CN" w:bidi="ar-SA"/>
    </w:rPr>
  </w:style>
  <w:style w:type="character" w:customStyle="1" w:styleId="23">
    <w:name w:val="批注框文本 字符"/>
    <w:basedOn w:val="20"/>
    <w:link w:val="14"/>
    <w:uiPriority w:val="0"/>
    <w:rPr>
      <w:rFonts w:asciiTheme="minorHAnsi" w:hAnsiTheme="minorHAnsi" w:eastAsiaTheme="minorEastAsia" w:cstheme="minorBidi"/>
      <w:kern w:val="2"/>
      <w:sz w:val="18"/>
      <w:szCs w:val="18"/>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7">
    <w:name w:val="2级标题"/>
    <w:basedOn w:val="1"/>
    <w:next w:val="1"/>
    <w:link w:val="28"/>
    <w:qFormat/>
    <w:uiPriority w:val="0"/>
    <w:pPr>
      <w:keepNext/>
      <w:widowControl/>
      <w:snapToGrid w:val="0"/>
      <w:outlineLvl w:val="1"/>
    </w:pPr>
    <w:rPr>
      <w:rFonts w:eastAsia="楷体_GB2312"/>
      <w:b/>
      <w:bCs/>
    </w:rPr>
  </w:style>
  <w:style w:type="character" w:customStyle="1" w:styleId="28">
    <w:name w:val="2级标题 字符"/>
    <w:basedOn w:val="20"/>
    <w:link w:val="27"/>
    <w:uiPriority w:val="0"/>
    <w:rPr>
      <w:rFonts w:ascii="Times New Roman" w:hAnsi="Times New Roman" w:eastAsia="楷体_GB2312"/>
      <w:b/>
      <w:bCs/>
      <w:sz w:val="32"/>
      <w:szCs w:val="32"/>
    </w:rPr>
  </w:style>
  <w:style w:type="paragraph" w:customStyle="1" w:styleId="29">
    <w:name w:val="修订4"/>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0">
    <w:name w:val="页脚 字符"/>
    <w:basedOn w:val="20"/>
    <w:link w:val="15"/>
    <w:uiPriority w:val="99"/>
    <w:rPr>
      <w:rFonts w:asciiTheme="minorHAnsi" w:hAnsiTheme="minorHAnsi" w:eastAsiaTheme="minorEastAsia" w:cstheme="minorBidi"/>
      <w:kern w:val="2"/>
      <w:sz w:val="18"/>
      <w:szCs w:val="24"/>
    </w:rPr>
  </w:style>
  <w:style w:type="character" w:customStyle="1" w:styleId="31">
    <w:name w:val="批注文字 字符"/>
    <w:basedOn w:val="20"/>
    <w:link w:val="11"/>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8"/>
    <w:uiPriority w:val="0"/>
    <w:rPr>
      <w:rFonts w:asciiTheme="minorHAnsi" w:hAnsiTheme="minorHAnsi" w:eastAsiaTheme="minorEastAsia" w:cstheme="minorBidi"/>
      <w:b/>
      <w:bCs/>
      <w:kern w:val="2"/>
      <w:sz w:val="21"/>
      <w:szCs w:val="24"/>
    </w:rPr>
  </w:style>
  <w:style w:type="paragraph" w:customStyle="1" w:styleId="33">
    <w:name w:val="1级标题"/>
    <w:basedOn w:val="1"/>
    <w:next w:val="1"/>
    <w:link w:val="34"/>
    <w:qFormat/>
    <w:uiPriority w:val="0"/>
    <w:pPr>
      <w:keepNext/>
      <w:widowControl/>
      <w:snapToGrid w:val="0"/>
      <w:jc w:val="left"/>
      <w:outlineLvl w:val="0"/>
    </w:pPr>
    <w:rPr>
      <w:rFonts w:eastAsia="黑体"/>
    </w:rPr>
  </w:style>
  <w:style w:type="character" w:customStyle="1" w:styleId="34">
    <w:name w:val="1级标题 字符"/>
    <w:basedOn w:val="20"/>
    <w:link w:val="33"/>
    <w:qFormat/>
    <w:uiPriority w:val="0"/>
    <w:rPr>
      <w:rFonts w:ascii="Times New Roman" w:hAnsi="Times New Roman" w:eastAsia="黑体"/>
      <w:sz w:val="32"/>
      <w:szCs w:val="32"/>
    </w:rPr>
  </w:style>
  <w:style w:type="paragraph" w:customStyle="1" w:styleId="35">
    <w:name w:val="3级标题"/>
    <w:basedOn w:val="1"/>
    <w:next w:val="1"/>
    <w:link w:val="36"/>
    <w:qFormat/>
    <w:uiPriority w:val="0"/>
    <w:pPr>
      <w:keepNext/>
      <w:widowControl/>
      <w:snapToGrid w:val="0"/>
      <w:outlineLvl w:val="2"/>
    </w:pPr>
    <w:rPr>
      <w:b/>
    </w:rPr>
  </w:style>
  <w:style w:type="character" w:customStyle="1" w:styleId="36">
    <w:name w:val="3级标题 字符"/>
    <w:basedOn w:val="20"/>
    <w:link w:val="35"/>
    <w:qFormat/>
    <w:uiPriority w:val="0"/>
    <w:rPr>
      <w:rFonts w:ascii="Times New Roman" w:hAnsi="Times New Roman" w:eastAsia="仿宋_GB2312"/>
      <w:b/>
      <w:sz w:val="32"/>
      <w:szCs w:val="32"/>
    </w:rPr>
  </w:style>
  <w:style w:type="paragraph" w:customStyle="1" w:styleId="37">
    <w:name w:val="大标题"/>
    <w:basedOn w:val="1"/>
    <w:next w:val="1"/>
    <w:link w:val="38"/>
    <w:qFormat/>
    <w:uiPriority w:val="0"/>
    <w:pPr>
      <w:keepNext/>
      <w:widowControl/>
      <w:snapToGrid w:val="0"/>
      <w:spacing w:line="240" w:lineRule="auto"/>
      <w:ind w:firstLine="0" w:firstLineChars="0"/>
      <w:jc w:val="center"/>
    </w:pPr>
    <w:rPr>
      <w:rFonts w:eastAsia="华文中宋" w:cs="华文中宋"/>
      <w:b/>
      <w:color w:val="000000" w:themeColor="text1"/>
      <w:sz w:val="44"/>
      <w:szCs w:val="48"/>
      <w14:textFill>
        <w14:solidFill>
          <w14:schemeClr w14:val="tx1"/>
        </w14:solidFill>
      </w14:textFill>
    </w:rPr>
  </w:style>
  <w:style w:type="character" w:customStyle="1" w:styleId="38">
    <w:name w:val="大标题 字符"/>
    <w:basedOn w:val="20"/>
    <w:link w:val="37"/>
    <w:qFormat/>
    <w:uiPriority w:val="0"/>
    <w:rPr>
      <w:rFonts w:ascii="Times New Roman" w:hAnsi="Times New Roman" w:eastAsia="华文中宋" w:cs="华文中宋"/>
      <w:b/>
      <w:color w:val="000000" w:themeColor="text1"/>
      <w:sz w:val="44"/>
      <w:szCs w:val="48"/>
      <w14:textFill>
        <w14:solidFill>
          <w14:schemeClr w14:val="tx1"/>
        </w14:solidFill>
      </w14:textFill>
    </w:rPr>
  </w:style>
  <w:style w:type="character" w:customStyle="1" w:styleId="39">
    <w:name w:val="标题 4 字符"/>
    <w:basedOn w:val="20"/>
    <w:link w:val="4"/>
    <w:qFormat/>
    <w:uiPriority w:val="9"/>
    <w:rPr>
      <w:rFonts w:asciiTheme="majorHAnsi" w:hAnsiTheme="majorHAnsi" w:eastAsiaTheme="majorEastAsia" w:cstheme="majorBidi"/>
      <w:b/>
      <w:bCs/>
      <w:sz w:val="28"/>
      <w:szCs w:val="28"/>
    </w:rPr>
  </w:style>
  <w:style w:type="character" w:customStyle="1" w:styleId="40">
    <w:name w:val="标题 5 字符"/>
    <w:basedOn w:val="20"/>
    <w:link w:val="5"/>
    <w:qFormat/>
    <w:uiPriority w:val="9"/>
    <w:rPr>
      <w:rFonts w:ascii="Times New Roman" w:hAnsi="Times New Roman" w:eastAsia="仿宋_GB2312"/>
      <w:b/>
      <w:bCs/>
      <w:sz w:val="28"/>
      <w:szCs w:val="28"/>
    </w:rPr>
  </w:style>
  <w:style w:type="character" w:customStyle="1" w:styleId="41">
    <w:name w:val="标题 6 字符"/>
    <w:basedOn w:val="20"/>
    <w:link w:val="6"/>
    <w:uiPriority w:val="9"/>
    <w:rPr>
      <w:rFonts w:asciiTheme="majorHAnsi" w:hAnsiTheme="majorHAnsi" w:eastAsiaTheme="majorEastAsia" w:cstheme="majorBidi"/>
      <w:b/>
      <w:bCs/>
      <w:sz w:val="24"/>
      <w:szCs w:val="24"/>
    </w:rPr>
  </w:style>
  <w:style w:type="character" w:customStyle="1" w:styleId="42">
    <w:name w:val="标题 7 字符"/>
    <w:basedOn w:val="20"/>
    <w:link w:val="7"/>
    <w:qFormat/>
    <w:uiPriority w:val="9"/>
    <w:rPr>
      <w:rFonts w:ascii="Times New Roman" w:hAnsi="Times New Roman" w:eastAsia="仿宋_GB2312"/>
      <w:b/>
      <w:bCs/>
      <w:sz w:val="24"/>
      <w:szCs w:val="24"/>
    </w:rPr>
  </w:style>
  <w:style w:type="character" w:customStyle="1" w:styleId="43">
    <w:name w:val="标题 8 字符"/>
    <w:basedOn w:val="20"/>
    <w:link w:val="8"/>
    <w:qFormat/>
    <w:uiPriority w:val="9"/>
    <w:rPr>
      <w:rFonts w:asciiTheme="majorHAnsi" w:hAnsiTheme="majorHAnsi" w:eastAsiaTheme="majorEastAsia" w:cstheme="majorBidi"/>
      <w:sz w:val="24"/>
      <w:szCs w:val="24"/>
    </w:rPr>
  </w:style>
  <w:style w:type="character" w:customStyle="1" w:styleId="44">
    <w:name w:val="标题 9 字符"/>
    <w:basedOn w:val="20"/>
    <w:link w:val="9"/>
    <w:qFormat/>
    <w:uiPriority w:val="9"/>
    <w:rPr>
      <w:rFonts w:asciiTheme="majorHAnsi" w:hAnsiTheme="majorHAnsi" w:eastAsiaTheme="majorEastAsia" w:cstheme="majorBidi"/>
      <w:szCs w:val="21"/>
    </w:rPr>
  </w:style>
  <w:style w:type="character" w:customStyle="1" w:styleId="45">
    <w:name w:val="标题 1 字符"/>
    <w:basedOn w:val="20"/>
    <w:link w:val="2"/>
    <w:qFormat/>
    <w:uiPriority w:val="0"/>
    <w:rPr>
      <w:rFonts w:ascii="Times New Roman" w:hAnsi="Times New Roman" w:eastAsia="仿宋_GB2312"/>
      <w:b/>
      <w:bCs/>
      <w:kern w:val="44"/>
      <w:sz w:val="44"/>
      <w:szCs w:val="44"/>
    </w:rPr>
  </w:style>
  <w:style w:type="paragraph" w:customStyle="1" w:styleId="46">
    <w:name w:val="TOC 标题1"/>
    <w:basedOn w:val="2"/>
    <w:next w:val="1"/>
    <w:unhideWhenUsed/>
    <w:qFormat/>
    <w:uiPriority w:val="39"/>
    <w:pPr>
      <w:outlineLvl w:val="9"/>
    </w:pPr>
  </w:style>
  <w:style w:type="paragraph" w:customStyle="1" w:styleId="47">
    <w:name w:val="修订5"/>
    <w:hidden/>
    <w:semiHidden/>
    <w:qFormat/>
    <w:uiPriority w:val="99"/>
    <w:rPr>
      <w:rFonts w:eastAsia="仿宋_GB2312" w:asciiTheme="minorHAnsi" w:hAnsiTheme="minorHAnsi" w:cstheme="minorBidi"/>
      <w:kern w:val="2"/>
      <w:sz w:val="32"/>
      <w:szCs w:val="32"/>
      <w:lang w:val="en-US" w:eastAsia="zh-CN" w:bidi="ar-SA"/>
    </w:rPr>
  </w:style>
  <w:style w:type="paragraph" w:customStyle="1" w:styleId="48">
    <w:name w:val="修订6"/>
    <w:hidden/>
    <w:semiHidden/>
    <w:qFormat/>
    <w:uiPriority w:val="99"/>
    <w:rPr>
      <w:rFonts w:eastAsia="仿宋_GB2312" w:asciiTheme="minorHAnsi" w:hAnsiTheme="minorHAnsi" w:cstheme="minorBidi"/>
      <w:kern w:val="2"/>
      <w:sz w:val="32"/>
      <w:szCs w:val="32"/>
      <w:lang w:val="en-US" w:eastAsia="zh-CN" w:bidi="ar-SA"/>
    </w:rPr>
  </w:style>
  <w:style w:type="paragraph" w:customStyle="1" w:styleId="49">
    <w:name w:val="修订7"/>
    <w:hidden/>
    <w:semiHidden/>
    <w:qFormat/>
    <w:uiPriority w:val="99"/>
    <w:rPr>
      <w:rFonts w:eastAsia="仿宋_GB2312" w:asciiTheme="minorHAnsi" w:hAnsiTheme="minorHAnsi" w:cstheme="minorBidi"/>
      <w:kern w:val="2"/>
      <w:sz w:val="32"/>
      <w:szCs w:val="32"/>
      <w:lang w:val="en-US" w:eastAsia="zh-CN" w:bidi="ar-SA"/>
    </w:rPr>
  </w:style>
  <w:style w:type="paragraph" w:customStyle="1" w:styleId="50">
    <w:name w:val="修订8"/>
    <w:hidden/>
    <w:semiHidden/>
    <w:qFormat/>
    <w:uiPriority w:val="99"/>
    <w:rPr>
      <w:rFonts w:eastAsia="仿宋_GB2312" w:asciiTheme="minorHAnsi" w:hAnsiTheme="minorHAnsi" w:cstheme="minorBidi"/>
      <w:kern w:val="2"/>
      <w:sz w:val="32"/>
      <w:szCs w:val="32"/>
      <w:lang w:val="en-US" w:eastAsia="zh-CN" w:bidi="ar-SA"/>
    </w:rPr>
  </w:style>
  <w:style w:type="character" w:customStyle="1" w:styleId="51">
    <w:name w:val="纯文本 字符"/>
    <w:basedOn w:val="20"/>
    <w:link w:val="13"/>
    <w:qFormat/>
    <w:uiPriority w:val="0"/>
    <w:rPr>
      <w:rFonts w:ascii="宋体" w:hAnsi="Courier New"/>
      <w:kern w:val="2"/>
      <w:sz w:val="24"/>
      <w:szCs w:val="32"/>
    </w:rPr>
  </w:style>
  <w:style w:type="paragraph" w:customStyle="1" w:styleId="52">
    <w:name w:val="修订9"/>
    <w:hidden/>
    <w:semiHidden/>
    <w:qFormat/>
    <w:uiPriority w:val="99"/>
    <w:rPr>
      <w:rFonts w:eastAsia="仿宋_GB2312" w:asciiTheme="minorHAnsi" w:hAnsiTheme="minorHAnsi" w:cstheme="minorBidi"/>
      <w:kern w:val="2"/>
      <w:sz w:val="32"/>
      <w:szCs w:val="32"/>
      <w:lang w:val="en-US" w:eastAsia="zh-CN" w:bidi="ar-SA"/>
    </w:rPr>
  </w:style>
  <w:style w:type="paragraph" w:styleId="53">
    <w:name w:val="List Paragraph"/>
    <w:basedOn w:val="1"/>
    <w:qFormat/>
    <w:uiPriority w:val="99"/>
    <w:pPr>
      <w:ind w:firstLine="420"/>
    </w:pPr>
  </w:style>
  <w:style w:type="paragraph" w:customStyle="1" w:styleId="54">
    <w:name w:val="Revision"/>
    <w:hidden/>
    <w:semiHidden/>
    <w:qFormat/>
    <w:uiPriority w:val="99"/>
    <w:rPr>
      <w:rFonts w:eastAsia="仿宋_GB2312" w:asciiTheme="minorHAnsi" w:hAnsiTheme="minorHAnsi" w:cstheme="minorBidi"/>
      <w:kern w:val="2"/>
      <w:sz w:val="32"/>
      <w:szCs w:val="32"/>
      <w:lang w:val="en-US" w:eastAsia="zh-CN" w:bidi="ar-SA"/>
    </w:rPr>
  </w:style>
  <w:style w:type="character" w:customStyle="1" w:styleId="55">
    <w:name w:val="正文文本 字符"/>
    <w:basedOn w:val="20"/>
    <w:link w:val="12"/>
    <w:uiPriority w:val="99"/>
    <w:rPr>
      <w:rFonts w:eastAsia="仿宋_GB2312" w:cstheme="minorBidi"/>
      <w:kern w:val="2"/>
      <w:sz w:val="32"/>
      <w:szCs w:val="32"/>
    </w:rPr>
  </w:style>
  <w:style w:type="paragraph" w:customStyle="1" w:styleId="56">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56318-6806-45C6-B319-19401F65DCD8}">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17</Pages>
  <Words>1184</Words>
  <Characters>6750</Characters>
  <Lines>56</Lines>
  <Paragraphs>15</Paragraphs>
  <TotalTime>449</TotalTime>
  <ScaleCrop>false</ScaleCrop>
  <LinksUpToDate>false</LinksUpToDate>
  <CharactersWithSpaces>7919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2022-05-02T02:54:00Z</dcterms:created>
  <dc:creator>占鹏</dc:creator>
  <cp:lastModifiedBy>admin</cp:lastModifiedBy>
  <cp:lastPrinted>2023-03-27T00:56:00Z</cp:lastPrinted>
  <dcterms:modified xsi:type="dcterms:W3CDTF">2023-04-19T06:14:48Z</dcterms:modified>
  <cp:revision>944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DDE7A5CDA9B94A28A2236204A65A0AEA</vt:lpwstr>
  </property>
</Properties>
</file>