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FFC9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1F867B0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5D9FD65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6D27053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131585B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6C1396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30"/>
          <w:szCs w:val="30"/>
          <w:shd w:val="clear" w:color="auto" w:fill="auto"/>
        </w:rPr>
      </w:pPr>
    </w:p>
    <w:p w14:paraId="6A735F27"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sz w:val="44"/>
        </w:rPr>
      </w:pPr>
    </w:p>
    <w:p w14:paraId="47E9034B">
      <w:pPr>
        <w:spacing w:line="360" w:lineRule="auto"/>
        <w:ind w:firstLine="0" w:firstLineChars="0"/>
        <w:jc w:val="center"/>
        <w:rPr>
          <w:rFonts w:hint="eastAsia" w:ascii="思源黑体 CN Bold" w:hAnsi="思源黑体 CN Bold" w:eastAsia="思源黑体 CN Bold" w:cs="思源黑体 CN Bold"/>
          <w:b/>
          <w:color w:val="000000"/>
          <w:sz w:val="48"/>
          <w:szCs w:val="48"/>
        </w:rPr>
      </w:pPr>
      <w:r>
        <w:rPr>
          <w:rFonts w:hint="eastAsia" w:ascii="思源黑体 CN Bold" w:hAnsi="思源黑体 CN Bold" w:eastAsia="思源黑体 CN Bold" w:cs="思源黑体 CN Bold"/>
          <w:b/>
          <w:color w:val="000000"/>
          <w:sz w:val="48"/>
          <w:szCs w:val="48"/>
          <w:lang w:val="en-US" w:eastAsia="zh-CN"/>
        </w:rPr>
        <w:t>农村</w:t>
      </w:r>
      <w:r>
        <w:rPr>
          <w:rFonts w:hint="eastAsia" w:ascii="思源黑体 CN Bold" w:hAnsi="思源黑体 CN Bold" w:eastAsia="思源黑体 CN Bold" w:cs="思源黑体 CN Bold"/>
          <w:b/>
          <w:color w:val="000000"/>
          <w:sz w:val="48"/>
          <w:szCs w:val="48"/>
        </w:rPr>
        <w:t>产权交易操作手册</w:t>
      </w:r>
    </w:p>
    <w:p w14:paraId="4B8159FE">
      <w:pPr>
        <w:spacing w:line="240" w:lineRule="auto"/>
        <w:jc w:val="left"/>
        <w:rPr>
          <w:rFonts w:hint="eastAsia" w:ascii="Times New Roman" w:hAnsi="Times New Roman" w:eastAsia="宋体" w:cs="Times New Roman"/>
          <w:b/>
          <w:sz w:val="44"/>
        </w:rPr>
      </w:pPr>
      <w:r>
        <w:rPr>
          <w:rFonts w:hint="eastAsia" w:ascii="Times New Roman" w:hAnsi="Times New Roman" w:eastAsia="宋体" w:cs="Times New Roman"/>
          <w:b/>
          <w:sz w:val="44"/>
        </w:rPr>
        <w:br w:type="page"/>
      </w:r>
    </w:p>
    <w:sdt>
      <w:sdtP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lang w:val="zh-CN" w:eastAsia="zh-CN" w:bidi="ar-SA"/>
        </w:rPr>
        <w:id w:val="1903551147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lang w:val="en-US" w:eastAsia="zh-CN" w:bidi="ar-SA"/>
        </w:rPr>
      </w:sdtEndPr>
      <w:sdtContent>
        <w:p w14:paraId="5FA17A73">
          <w:pPr>
            <w:keepNext/>
            <w:keepLines/>
            <w:widowControl/>
            <w:spacing w:before="480" w:after="0" w:line="276" w:lineRule="auto"/>
            <w:ind w:firstLine="420" w:firstLineChars="0"/>
            <w:jc w:val="center"/>
            <w:outlineLvl w:val="9"/>
            <w:rPr>
              <w:rFonts w:hint="eastAsia" w:asciiTheme="minorEastAsia" w:hAnsiTheme="minorEastAsia" w:eastAsiaTheme="minorEastAsia" w:cstheme="minorEastAsia"/>
              <w:b/>
              <w:bCs/>
              <w:color w:val="auto"/>
              <w:kern w:val="0"/>
              <w:sz w:val="28"/>
              <w:szCs w:val="28"/>
              <w:lang w:val="en-US" w:eastAsia="zh-CN" w:bidi="ar-SA"/>
            </w:rPr>
          </w:pPr>
          <w:bookmarkStart w:id="17" w:name="_GoBack"/>
          <w:r>
            <w:rPr>
              <w:rFonts w:hint="eastAsia" w:asciiTheme="minorEastAsia" w:hAnsiTheme="minorEastAsia" w:eastAsiaTheme="minorEastAsia" w:cstheme="minorEastAsia"/>
              <w:b/>
              <w:bCs/>
              <w:color w:val="auto"/>
              <w:kern w:val="0"/>
              <w:sz w:val="28"/>
              <w:szCs w:val="28"/>
              <w:lang w:val="zh-CN" w:eastAsia="zh-CN" w:bidi="ar-SA"/>
            </w:rPr>
            <w:t>目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color w:val="auto"/>
              <w:kern w:val="0"/>
              <w:sz w:val="28"/>
              <w:szCs w:val="28"/>
              <w:lang w:val="en-US" w:eastAsia="zh-CN" w:bidi="ar-SA"/>
            </w:rPr>
            <w:t xml:space="preserve">   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color w:val="auto"/>
              <w:kern w:val="0"/>
              <w:sz w:val="28"/>
              <w:szCs w:val="28"/>
              <w:lang w:val="zh-CN" w:eastAsia="zh-CN" w:bidi="ar-SA"/>
            </w:rPr>
            <w:t>录</w:t>
          </w:r>
        </w:p>
        <w:p w14:paraId="32D38930">
          <w:pPr>
            <w:pStyle w:val="5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instrText xml:space="preserve"> TOC \o "1-3" \h \z \u </w:instrText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instrText xml:space="preserve"> HYPERLINK \l _Toc4967 </w:instrText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44"/>
              <w:sz w:val="28"/>
              <w:szCs w:val="28"/>
              <w:lang w:val="en-US" w:eastAsia="zh-CN" w:bidi="ar-SA"/>
            </w:rPr>
            <w:t>一、 系统登录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_Toc4967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82E7B9A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_Toc16424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1.1 CA或标证通登录-竞买人端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_Toc16424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40E3165F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_Toc29720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1.2 自然人登录-竞买人端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_Toc29720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3A15D640">
          <w:pPr>
            <w:pStyle w:val="5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_Toc353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44"/>
              <w:sz w:val="28"/>
              <w:szCs w:val="28"/>
              <w:lang w:val="en-US" w:eastAsia="zh-CN" w:bidi="ar-SA"/>
            </w:rPr>
            <w:t>二、 项目操作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_Toc353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3EAA92C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_Toc5929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2.1 选择项目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_Toc5929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34814532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_Toc12822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2.2 项目登记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_Toc12822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3BD5BB0C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_Toc19696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2.3 保证金查询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_Toc19696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53C5D575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_Toc30770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2.4 进入竞价系统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_Toc30770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5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1A646F4A">
          <w:pPr>
            <w:pStyle w:val="5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_Toc1770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44"/>
              <w:sz w:val="28"/>
              <w:szCs w:val="28"/>
              <w:lang w:val="en-US" w:eastAsia="zh-CN" w:bidi="ar-SA"/>
            </w:rPr>
            <w:t>三、 竞价方式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_Toc1770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6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CE88CAC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_Toc23926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3.1 一次性竞价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_Toc23926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6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1F3A6A2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_Toc29996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3.2 连续竞价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_Toc29996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10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49C9ED82">
          <w:pPr>
            <w:pStyle w:val="5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_Toc12716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44"/>
              <w:sz w:val="28"/>
              <w:szCs w:val="28"/>
              <w:lang w:val="en-US" w:eastAsia="zh-CN" w:bidi="ar-SA"/>
            </w:rPr>
            <w:t>四、 成交确认书领取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_Toc12716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13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6393D415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_Toc12338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4.1 成交确认书预览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_Toc12338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13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3AEC8CEF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_Toc7099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4.2 成交确认书下载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_Toc7099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3D7F93D">
          <w:pPr>
            <w:pStyle w:val="5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_Toc23104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44"/>
              <w:sz w:val="28"/>
              <w:szCs w:val="28"/>
              <w:lang w:val="en-US" w:eastAsia="zh-CN" w:bidi="ar-SA"/>
            </w:rPr>
            <w:t>五、 竞价模拟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_Toc23104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1A89848C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_Toc14340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5.1 一次性竞价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_Toc14340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14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2C93ACE">
          <w:pPr>
            <w:pStyle w:val="6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instrText xml:space="preserve"> HYPERLINK \l _Toc15537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kern w:val="2"/>
              <w:sz w:val="28"/>
              <w:szCs w:val="28"/>
              <w:lang w:val="en-US" w:eastAsia="zh-CN" w:bidi="ar-SA"/>
            </w:rPr>
            <w:t>5.2 连续竞价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PAGEREF _Toc15537 \h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15</w: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</w:p>
        <w:p w14:paraId="23FF7A92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422"/>
            <w:textAlignment w:val="auto"/>
            <w:rPr>
              <w:rFonts w:hint="eastAsia" w:asciiTheme="minorEastAsia" w:hAnsiTheme="minorEastAsia" w:eastAsiaTheme="minorEastAsia" w:cstheme="minorEastAsia"/>
              <w:sz w:val="28"/>
              <w:szCs w:val="28"/>
              <w:lang w:val="en-US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8"/>
              <w:szCs w:val="28"/>
              <w:lang w:val="zh-CN"/>
            </w:rPr>
            <w:fldChar w:fldCharType="end"/>
          </w:r>
          <w:bookmarkEnd w:id="17"/>
        </w:p>
      </w:sdtContent>
    </w:sdt>
    <w:p w14:paraId="70E19BE3"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</w:rPr>
      </w:pPr>
    </w:p>
    <w:p w14:paraId="42BCBCF3">
      <w:pPr>
        <w:keepNext/>
        <w:keepLines/>
        <w:widowControl w:val="0"/>
        <w:numPr>
          <w:ilvl w:val="0"/>
          <w:numId w:val="0"/>
        </w:numPr>
        <w:spacing w:before="340" w:after="330" w:line="578" w:lineRule="atLeast"/>
        <w:ind w:left="0" w:leftChars="0" w:firstLine="199" w:firstLineChars="45"/>
        <w:jc w:val="both"/>
        <w:outlineLvl w:val="0"/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D06D54">
      <w:pPr>
        <w:keepNext/>
        <w:keepLines/>
        <w:widowControl/>
        <w:numPr>
          <w:ilvl w:val="0"/>
          <w:numId w:val="1"/>
        </w:numPr>
        <w:spacing w:before="120" w:after="120" w:line="360" w:lineRule="auto"/>
        <w:ind w:left="432" w:leftChars="0" w:hanging="432" w:firstLineChars="0"/>
        <w:jc w:val="left"/>
        <w:outlineLvl w:val="0"/>
        <w:rPr>
          <w:rFonts w:hint="default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</w:pPr>
      <w:bookmarkStart w:id="0" w:name="_Toc4967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  <w:t>系统登录</w:t>
      </w:r>
      <w:bookmarkEnd w:id="0"/>
    </w:p>
    <w:p w14:paraId="26329BDA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" w:name="_Toc16424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CA或标证通登录-竞买人端</w:t>
      </w:r>
      <w:bookmarkEnd w:id="1"/>
    </w:p>
    <w:p w14:paraId="1DF17BE8">
      <w:pPr>
        <w:widowControl w:val="0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登录交易平台竞买人端，访问-投标人端，如下图。</w:t>
      </w:r>
    </w:p>
    <w:p w14:paraId="14A0CC2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20" w:firstLineChars="200"/>
        <w:jc w:val="left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系统地址：</w:t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begin"/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instrText xml:space="preserve"> HYPERLINK "https://hy.ahggzyjy.com/JTTPBidderYZ/memberLogin" </w:instrText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separate"/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http://hy.ahggzyjy.com/onlineBidder/default/login_</w: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t</w:t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br </w:t>
      </w:r>
      <w:r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end"/>
      </w:r>
    </w:p>
    <w:p w14:paraId="7833938A">
      <w:pPr>
        <w:widowControl w:val="0"/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64150" cy="3340100"/>
            <wp:effectExtent l="0" t="0" r="635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A98F9">
      <w:pPr>
        <w:pStyle w:val="3"/>
        <w:widowControl w:val="0"/>
        <w:numPr>
          <w:ilvl w:val="0"/>
          <w:numId w:val="0"/>
        </w:numPr>
        <w:spacing w:line="360" w:lineRule="auto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 xml:space="preserve"> 登录页面示意图</w:t>
      </w:r>
    </w:p>
    <w:p w14:paraId="09582C37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2" w:name="_Toc29720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自然人登录-竞买人端</w:t>
      </w:r>
      <w:bookmarkEnd w:id="2"/>
    </w:p>
    <w:p w14:paraId="7ABDB99E">
      <w:pPr>
        <w:widowControl w:val="0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访问-自然人入口，点击安徽政务服务网统一认证中心登录，如下图。</w:t>
      </w:r>
    </w:p>
    <w:p w14:paraId="1B556366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20" w:firstLineChars="200"/>
        <w:jc w:val="left"/>
        <w:rPr>
          <w:rFonts w:hint="default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登录网址：</w: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begin"/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instrText xml:space="preserve"> HYPERLINK "https://ggzy.hefei.gov.cn/tspbidder/" </w:instrTex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separate"/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https://ggzy.hefei.gov.cn/tspbidder/</w: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end"/>
      </w:r>
    </w:p>
    <w:p w14:paraId="567CA49B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drawing>
          <wp:inline distT="0" distB="0" distL="114300" distR="114300">
            <wp:extent cx="5270500" cy="2241550"/>
            <wp:effectExtent l="0" t="0" r="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2D21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 xml:space="preserve"> 政务服务网登录示意图</w:t>
      </w:r>
    </w:p>
    <w:p w14:paraId="240D14C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20" w:firstLineChars="200"/>
        <w:jc w:val="left"/>
        <w:rPr>
          <w:rFonts w:hint="default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进入安徽政务服务网统一认证中心页面，点击“扫码登录”，进入页面后选择“安徽公共资源交易集团数智交易系统”即可。</w:t>
      </w:r>
    </w:p>
    <w:p w14:paraId="4BF7C8BD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drawing>
          <wp:inline distT="0" distB="0" distL="114300" distR="114300">
            <wp:extent cx="5251450" cy="2838450"/>
            <wp:effectExtent l="0" t="0" r="6350" b="635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653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eastAsia="zh-CN"/>
        </w:rPr>
        <w:t xml:space="preserve"> 个人用户登录页面</w:t>
      </w:r>
    </w:p>
    <w:p w14:paraId="6C44FBD8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drawing>
          <wp:inline distT="0" distB="0" distL="114300" distR="114300">
            <wp:extent cx="5264150" cy="2863850"/>
            <wp:effectExtent l="0" t="0" r="6350" b="635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973B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 xml:space="preserve"> 皖事通扫码登录页面</w:t>
      </w:r>
    </w:p>
    <w:p w14:paraId="3FB1D87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drawing>
          <wp:inline distT="0" distB="0" distL="114300" distR="114300">
            <wp:extent cx="5271770" cy="2664460"/>
            <wp:effectExtent l="0" t="0" r="11430" b="254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F2C5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 xml:space="preserve"> 系统入口示意图</w:t>
      </w:r>
    </w:p>
    <w:p w14:paraId="7C3A77E3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 w14:paraId="4C1BBE8A">
      <w:pPr>
        <w:widowControl w:val="0"/>
        <w:numPr>
          <w:ilvl w:val="0"/>
          <w:numId w:val="0"/>
        </w:numPr>
        <w:spacing w:line="360" w:lineRule="auto"/>
        <w:ind w:firstLine="420" w:firstLineChars="200"/>
        <w:jc w:val="left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【线下竞买人】登录交易平台竞买人端，如下图。访问-线下竞买人端，用自己的统一社会信用代码或者身份证登入；</w:t>
      </w:r>
    </w:p>
    <w:p w14:paraId="483EB16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系统地址：</w: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begin"/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instrText xml:space="preserve"> HYPERLINK "http://jingjia.ahggzyjy.com/SZJYEpointBid_JingJia" </w:instrTex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separate"/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t>http://jingjia.ahggzyjy.com/SZJYEpointBid_JingJia</w:t>
      </w:r>
      <w:r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  <w:fldChar w:fldCharType="end"/>
      </w:r>
    </w:p>
    <w:p w14:paraId="7CD76F0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0" w:firstLineChars="0"/>
        <w:jc w:val="left"/>
      </w:pPr>
      <w:r>
        <w:drawing>
          <wp:inline distT="0" distB="0" distL="114300" distR="114300">
            <wp:extent cx="5259705" cy="3340100"/>
            <wp:effectExtent l="0" t="0" r="10795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3781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0" w:firstLineChars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 xml:space="preserve"> 系统登录页面示意图</w:t>
      </w:r>
    </w:p>
    <w:p w14:paraId="6A2B230B">
      <w:pPr>
        <w:keepNext/>
        <w:keepLines/>
        <w:widowControl/>
        <w:numPr>
          <w:ilvl w:val="0"/>
          <w:numId w:val="1"/>
        </w:numPr>
        <w:spacing w:before="120" w:after="120" w:line="360" w:lineRule="auto"/>
        <w:ind w:left="432" w:leftChars="0" w:hanging="432" w:firstLineChars="0"/>
        <w:jc w:val="left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</w:pPr>
      <w:bookmarkStart w:id="3" w:name="_Toc353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  <w:t>项目操作</w:t>
      </w:r>
      <w:bookmarkEnd w:id="3"/>
    </w:p>
    <w:p w14:paraId="26DFEDEF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4" w:name="_Toc5929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选择项目</w:t>
      </w:r>
      <w:bookmarkEnd w:id="4"/>
    </w:p>
    <w:p w14:paraId="377D4ADF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【项目登记】进入</w:t>
      </w:r>
      <w:r>
        <w:rPr>
          <w:rFonts w:hint="eastAsia" w:ascii="Calibri" w:hAnsi="Calibri" w:eastAsia="宋体" w:cs="Times New Roman"/>
          <w:szCs w:val="22"/>
        </w:rPr>
        <w:t>系统页面，点击“</w:t>
      </w:r>
      <w:r>
        <w:rPr>
          <w:rFonts w:hint="eastAsia" w:ascii="Calibri" w:hAnsi="Calibri" w:eastAsia="宋体" w:cs="Times New Roman"/>
          <w:szCs w:val="22"/>
          <w:lang w:val="en-US" w:eastAsia="zh-CN"/>
        </w:rPr>
        <w:t>招标公告</w:t>
      </w:r>
      <w:r>
        <w:rPr>
          <w:rFonts w:hint="eastAsia" w:ascii="Calibri" w:hAnsi="Calibri" w:eastAsia="宋体" w:cs="Times New Roman"/>
          <w:szCs w:val="22"/>
        </w:rPr>
        <w:t>－</w:t>
      </w:r>
      <w:r>
        <w:rPr>
          <w:rFonts w:hint="eastAsia" w:ascii="Calibri" w:hAnsi="Calibri" w:eastAsia="宋体" w:cs="Times New Roman"/>
          <w:szCs w:val="22"/>
          <w:lang w:val="en-US" w:eastAsia="zh-CN"/>
        </w:rPr>
        <w:t>项目类型（农村产权）</w:t>
      </w:r>
      <w:r>
        <w:rPr>
          <w:rFonts w:hint="eastAsia" w:ascii="Calibri" w:hAnsi="Calibri" w:eastAsia="宋体" w:cs="Times New Roman"/>
          <w:szCs w:val="22"/>
        </w:rPr>
        <w:t>”</w:t>
      </w:r>
      <w:r>
        <w:rPr>
          <w:rFonts w:hint="eastAsia" w:ascii="Calibri" w:hAnsi="Calibri" w:eastAsia="宋体" w:cs="Times New Roman"/>
          <w:szCs w:val="22"/>
          <w:lang w:eastAsia="zh-CN"/>
        </w:rPr>
        <w:t>，</w:t>
      </w:r>
      <w:r>
        <w:rPr>
          <w:rFonts w:hint="eastAsia" w:ascii="Calibri" w:hAnsi="Calibri" w:eastAsia="宋体" w:cs="Times New Roman"/>
          <w:szCs w:val="22"/>
          <w:lang w:val="en-US" w:eastAsia="zh-CN"/>
        </w:rPr>
        <w:t>选择“项目卡”，进入工作台页面，选择项目登记。</w:t>
      </w:r>
    </w:p>
    <w:p w14:paraId="6A7AC890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48910" cy="2229485"/>
            <wp:effectExtent l="0" t="0" r="8890" b="571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5768">
      <w:pPr>
        <w:pStyle w:val="3"/>
        <w:numPr>
          <w:ilvl w:val="0"/>
          <w:numId w:val="0"/>
        </w:numPr>
        <w:spacing w:line="360" w:lineRule="auto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 xml:space="preserve"> 首页示意图</w:t>
      </w:r>
    </w:p>
    <w:p w14:paraId="0E281E5C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5" w:name="_Toc12822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项目登记</w:t>
      </w:r>
      <w:bookmarkEnd w:id="5"/>
    </w:p>
    <w:p w14:paraId="211E457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进入项目登记页面；填写信息后，点击“添加保存”；</w:t>
      </w:r>
    </w:p>
    <w:p w14:paraId="3C92F7E3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2001520"/>
            <wp:effectExtent l="9525" t="9525" r="15875" b="2095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b="986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01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0FBAA2">
      <w:pPr>
        <w:pStyle w:val="3"/>
        <w:numPr>
          <w:ilvl w:val="0"/>
          <w:numId w:val="0"/>
        </w:numPr>
        <w:spacing w:line="360" w:lineRule="auto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eastAsia="zh-CN"/>
        </w:rPr>
        <w:t xml:space="preserve"> 项目登记页面示意图</w:t>
      </w:r>
    </w:p>
    <w:p w14:paraId="70F6F0AE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6" w:name="_Toc19696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保证金查询</w:t>
      </w:r>
      <w:bookmarkEnd w:id="6"/>
    </w:p>
    <w:p w14:paraId="1515F0EB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保证金查询，缴纳完保证金且查询成功才可进入竞价系统；</w:t>
      </w:r>
    </w:p>
    <w:p w14:paraId="755C04D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770" cy="2240280"/>
            <wp:effectExtent l="0" t="0" r="11430" b="762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F7FC">
      <w:pPr>
        <w:pStyle w:val="3"/>
        <w:numPr>
          <w:ilvl w:val="0"/>
          <w:numId w:val="0"/>
        </w:numPr>
        <w:spacing w:line="360" w:lineRule="auto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lang w:eastAsia="zh-CN"/>
        </w:rPr>
        <w:t xml:space="preserve"> 保证金查询页面示意图</w:t>
      </w:r>
    </w:p>
    <w:p w14:paraId="7B1B7E7D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7" w:name="_Toc30770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进入竞价系统</w:t>
      </w:r>
      <w:bookmarkEnd w:id="7"/>
    </w:p>
    <w:p w14:paraId="59EDFA7E">
      <w:pPr>
        <w:numPr>
          <w:ilvl w:val="0"/>
          <w:numId w:val="0"/>
        </w:numPr>
        <w:spacing w:line="360" w:lineRule="auto"/>
        <w:ind w:left="0" w:leftChars="0" w:firstLine="420" w:firstLineChars="200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【进入竞价系统】查询保证金完成后，点击“进入竞价系统”，点击进入正在竞价的项目；</w:t>
      </w:r>
    </w:p>
    <w:p w14:paraId="29AD3204">
      <w:pPr>
        <w:numPr>
          <w:ilvl w:val="0"/>
          <w:numId w:val="0"/>
        </w:numPr>
        <w:spacing w:line="360" w:lineRule="auto"/>
        <w:ind w:leftChars="0"/>
        <w:rPr>
          <w:rFonts w:ascii="Calibri" w:hAnsi="Calibri" w:eastAsia="宋体" w:cs="Times New Roman"/>
          <w:szCs w:val="22"/>
        </w:rPr>
      </w:pPr>
      <w:r>
        <w:drawing>
          <wp:inline distT="0" distB="0" distL="114300" distR="114300">
            <wp:extent cx="5248275" cy="1742440"/>
            <wp:effectExtent l="0" t="0" r="9525" b="1016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01A67">
      <w:pPr>
        <w:pStyle w:val="3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Calibri" w:hAnsi="Calibri" w:cs="Times New Roman" w:eastAsiaTheme="minorEastAsia"/>
          <w:szCs w:val="22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eastAsia="zh-CN"/>
        </w:rPr>
        <w:t xml:space="preserve"> 竞价中项目示意图</w:t>
      </w:r>
    </w:p>
    <w:p w14:paraId="48EAF06D"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阅读电子竞价风险告知及接受确认书；</w:t>
      </w:r>
    </w:p>
    <w:p w14:paraId="661CFC6F"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70500" cy="3321050"/>
            <wp:effectExtent l="0" t="0" r="0" b="6350"/>
            <wp:docPr id="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3C0F">
      <w:pPr>
        <w:pStyle w:val="3"/>
        <w:numPr>
          <w:ilvl w:val="0"/>
          <w:numId w:val="0"/>
        </w:numPr>
        <w:spacing w:line="360" w:lineRule="auto"/>
        <w:ind w:leftChars="0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eastAsia="zh-CN"/>
        </w:rPr>
        <w:t xml:space="preserve"> 风险告知书示意图</w:t>
      </w:r>
    </w:p>
    <w:p w14:paraId="2DDC0C42"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default" w:ascii="Calibri" w:hAnsi="Calibri" w:eastAsia="宋体" w:cs="Times New Roman"/>
          <w:szCs w:val="22"/>
          <w:lang w:val="en-US" w:eastAsia="zh-CN"/>
        </w:rPr>
      </w:pPr>
      <w:r>
        <w:rPr>
          <w:rFonts w:hint="eastAsia" w:ascii="Calibri" w:hAnsi="Calibri" w:eastAsia="宋体" w:cs="Times New Roman"/>
          <w:szCs w:val="22"/>
          <w:lang w:val="en-US" w:eastAsia="zh-CN"/>
        </w:rPr>
        <w:t>进入竞价页面提交报价和快速报价；</w:t>
      </w:r>
    </w:p>
    <w:p w14:paraId="22BB7971">
      <w:pPr>
        <w:keepNext/>
        <w:keepLines/>
        <w:widowControl/>
        <w:numPr>
          <w:ilvl w:val="0"/>
          <w:numId w:val="1"/>
        </w:numPr>
        <w:spacing w:before="120" w:after="120" w:line="360" w:lineRule="auto"/>
        <w:ind w:left="432" w:leftChars="0" w:hanging="432" w:firstLineChars="0"/>
        <w:jc w:val="left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</w:pPr>
      <w:bookmarkStart w:id="8" w:name="_Toc1770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  <w:t>竞价方式</w:t>
      </w:r>
      <w:bookmarkEnd w:id="8"/>
    </w:p>
    <w:p w14:paraId="56BE0454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9" w:name="_Toc23926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一次性竞价</w:t>
      </w:r>
      <w:bookmarkEnd w:id="9"/>
    </w:p>
    <w:p w14:paraId="4D75281F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竞价人填写有效的报价金额，录入成功之后可点击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366395" cy="177165"/>
            <wp:effectExtent l="0" t="0" r="1905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进行报价。在一次性竞价项目报价单开启时间倒计时结束前，竞价人若对之前的报价进行修改，需要重新输入报价金额点击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373380" cy="179705"/>
            <wp:effectExtent l="0" t="0" r="7620" b="1079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 xml:space="preserve"> ，也可点击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371475" cy="179070"/>
            <wp:effectExtent l="0" t="0" r="9525" b="1143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，对自己之前的报价进行撤回，如您在报价单开启前撤回了报价并未再次提交报价，则报价无效。如下图：</w:t>
      </w:r>
    </w:p>
    <w:p w14:paraId="11CDA509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086350" cy="2413000"/>
            <wp:effectExtent l="0" t="0" r="6350" b="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810E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eastAsia="zh-CN"/>
        </w:rPr>
        <w:t xml:space="preserve"> 报价页面示意图</w:t>
      </w:r>
    </w:p>
    <w:p w14:paraId="1EB9197A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088255" cy="2663190"/>
            <wp:effectExtent l="0" t="0" r="17145" b="3810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B21C8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lang w:eastAsia="zh-CN"/>
        </w:rPr>
        <w:t xml:space="preserve"> 确认报价页面示意图</w:t>
      </w:r>
    </w:p>
    <w:p w14:paraId="3C407C13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在报价单开启前，各竞价人只能在报价区下方我的报价记录中查看到自己的报价记录，其他竞价人报价记录无法查看。</w:t>
      </w:r>
    </w:p>
    <w:p w14:paraId="09386DAB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179060" cy="2455545"/>
            <wp:effectExtent l="0" t="0" r="2540" b="1905"/>
            <wp:docPr id="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79D8F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eastAsia="zh-CN"/>
        </w:rPr>
        <w:t xml:space="preserve"> 竞价消息示意图</w:t>
      </w:r>
    </w:p>
    <w:p w14:paraId="6949E804">
      <w:pPr>
        <w:spacing w:line="360" w:lineRule="auto"/>
        <w:ind w:firstLine="42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行使优先权：</w:t>
      </w:r>
    </w:p>
    <w:p w14:paraId="5DF6BD58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同等价格下，优先权人可在优先权行使期内行使优先权。优先权人须按照项目公告要求及时办理注册、登记及保证金缴纳手续，方可进入竞价系统行使优先权。优先权竞价人在报价单开启时间前只能查看，不能行使优先权。如下图：</w:t>
      </w:r>
    </w:p>
    <w:p w14:paraId="780F5862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338445" cy="2706370"/>
            <wp:effectExtent l="0" t="0" r="14605" b="17780"/>
            <wp:docPr id="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6A9D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15</w:t>
      </w:r>
      <w:r>
        <w:fldChar w:fldCharType="end"/>
      </w:r>
      <w:r>
        <w:rPr>
          <w:rFonts w:hint="eastAsia"/>
          <w:lang w:eastAsia="zh-CN"/>
        </w:rPr>
        <w:t xml:space="preserve"> 竞价优先权示意图</w:t>
      </w:r>
    </w:p>
    <w:p w14:paraId="6B84C38C">
      <w:pPr>
        <w:spacing w:line="360" w:lineRule="auto"/>
        <w:ind w:firstLine="42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若报价单开启后进入行使优先权倒计时内，优先权竞价人可看到其他竞价人报价及排名情况，并确认是否行使优先权，如下图：</w:t>
      </w:r>
    </w:p>
    <w:p w14:paraId="6DE5A259">
      <w:pPr>
        <w:spacing w:line="36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69865" cy="2461895"/>
            <wp:effectExtent l="0" t="0" r="6985" b="14605"/>
            <wp:docPr id="58" name="图片 58" descr="8f692ffce348cd57b349572558a939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8f692ffce348cd57b349572558a939bc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91CD">
      <w:pPr>
        <w:pStyle w:val="3"/>
        <w:spacing w:line="360" w:lineRule="auto"/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16</w:t>
      </w:r>
      <w:r>
        <w:fldChar w:fldCharType="end"/>
      </w:r>
      <w:r>
        <w:rPr>
          <w:rFonts w:hint="eastAsia"/>
          <w:lang w:eastAsia="zh-CN"/>
        </w:rPr>
        <w:t xml:space="preserve"> 查看报价历史示意图</w:t>
      </w:r>
    </w:p>
    <w:p w14:paraId="79E9E49C">
      <w:pPr>
        <w:spacing w:line="360" w:lineRule="auto"/>
        <w:ind w:left="0" w:leftChars="0" w:firstLine="0" w:firstLineChars="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64785" cy="3082290"/>
            <wp:effectExtent l="0" t="0" r="0" b="0"/>
            <wp:docPr id="57" name="图片 57" descr="506f142bb620c1ed687eba553553d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506f142bb620c1ed687eba553553d223"/>
                    <pic:cNvPicPr>
                      <a:picLocks noChangeAspect="1"/>
                    </pic:cNvPicPr>
                  </pic:nvPicPr>
                  <pic:blipFill>
                    <a:blip r:embed="rId25"/>
                    <a:srcRect t="839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67F2A">
      <w:pPr>
        <w:pStyle w:val="3"/>
        <w:spacing w:line="360" w:lineRule="auto"/>
        <w:ind w:left="0" w:leftChars="0" w:firstLine="0" w:firstLineChars="0"/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17</w:t>
      </w:r>
      <w:r>
        <w:fldChar w:fldCharType="end"/>
      </w:r>
      <w:r>
        <w:rPr>
          <w:rFonts w:hint="eastAsia"/>
          <w:lang w:eastAsia="zh-CN"/>
        </w:rPr>
        <w:t xml:space="preserve"> 报价历史记录详情页示意图</w:t>
      </w:r>
    </w:p>
    <w:p w14:paraId="158C99A2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若行使优先权，在点击行使优先权按钮后，会弹出竞价结束的信息，如下图所示：</w:t>
      </w:r>
    </w:p>
    <w:p w14:paraId="7A6346C5">
      <w:pPr>
        <w:spacing w:line="360" w:lineRule="auto"/>
        <w:ind w:left="0" w:leftChars="0" w:firstLine="0" w:firstLineChars="0"/>
        <w:rPr>
          <w:rFonts w:ascii="Times New Roman" w:hAnsi="Times New Roman" w:eastAsia="宋体" w:cs="Times New Roman"/>
        </w:rPr>
      </w:pPr>
    </w:p>
    <w:p w14:paraId="7C0E2A30">
      <w:pPr>
        <w:spacing w:line="360" w:lineRule="auto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80025" cy="2437765"/>
            <wp:effectExtent l="0" t="0" r="3175" b="635"/>
            <wp:docPr id="1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D5FB36">
      <w:pPr>
        <w:pStyle w:val="3"/>
        <w:spacing w:line="360" w:lineRule="auto"/>
        <w:ind w:left="0" w:leftChars="0" w:firstLine="0" w:firstLineChars="0"/>
        <w:jc w:val="center"/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18</w:t>
      </w:r>
      <w:r>
        <w:fldChar w:fldCharType="end"/>
      </w:r>
      <w:r>
        <w:rPr>
          <w:rFonts w:hint="eastAsia"/>
          <w:lang w:eastAsia="zh-CN"/>
        </w:rPr>
        <w:t xml:space="preserve"> 参与完成示意图</w:t>
      </w:r>
    </w:p>
    <w:p w14:paraId="0E48B041">
      <w:pPr>
        <w:spacing w:line="360" w:lineRule="auto"/>
        <w:ind w:firstLine="422"/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优先权人逾期或者未按规定完成上述流程视同放弃优先权。</w:t>
      </w:r>
    </w:p>
    <w:p w14:paraId="7C05D0A9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0" w:name="_Toc29996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连续竞价</w:t>
      </w:r>
      <w:bookmarkEnd w:id="10"/>
    </w:p>
    <w:p w14:paraId="1F4C2A9A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进入竞价界面可查看到该竞价项目的相关信息，如“标的概要”区可了解项目详情包括竞价状态、结束时间、当前最高价格等信息，如下图：</w:t>
      </w:r>
    </w:p>
    <w:p w14:paraId="3E0F8D38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269865" cy="2623185"/>
            <wp:effectExtent l="0" t="0" r="635" b="5715"/>
            <wp:docPr id="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68D2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19</w:t>
      </w:r>
      <w:r>
        <w:fldChar w:fldCharType="end"/>
      </w:r>
      <w:r>
        <w:rPr>
          <w:rFonts w:hint="eastAsia"/>
          <w:lang w:eastAsia="zh-CN"/>
        </w:rPr>
        <w:t xml:space="preserve"> 标的概要示意图</w:t>
      </w:r>
    </w:p>
    <w:p w14:paraId="2EE96B27">
      <w:pPr>
        <w:spacing w:line="360" w:lineRule="auto"/>
        <w:ind w:firstLine="42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</w:rPr>
        <w:t>信息确认无误后竞价人即可进行报价</w:t>
      </w:r>
      <w:r>
        <w:rPr>
          <w:rFonts w:hint="eastAsia" w:ascii="Times New Roman" w:hAnsi="Times New Roman" w:eastAsia="宋体" w:cs="Times New Roman"/>
          <w:lang w:eastAsia="zh-CN"/>
        </w:rPr>
        <w:t>。</w:t>
      </w:r>
    </w:p>
    <w:p w14:paraId="40F1EAD3">
      <w:pPr>
        <w:numPr>
          <w:ilvl w:val="0"/>
          <w:numId w:val="2"/>
        </w:numPr>
        <w:spacing w:line="360" w:lineRule="auto"/>
        <w:ind w:firstLine="420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竞价人点击</w:t>
      </w:r>
      <w:r>
        <w:rPr>
          <w:rFonts w:hint="eastAsia" w:ascii="Times New Roman" w:hAnsi="Times New Roman" w:eastAsia="宋体" w:cs="Times New Roman"/>
        </w:rPr>
        <w:t>“快速报价”</w:t>
      </w:r>
      <w:r>
        <w:rPr>
          <w:rFonts w:hint="eastAsia" w:ascii="Times New Roman" w:hAnsi="Times New Roman" w:eastAsia="宋体" w:cs="Times New Roman"/>
          <w:lang w:val="en-US" w:eastAsia="zh-CN"/>
        </w:rPr>
        <w:t>时，若为首次报价，则报价为“起始价”；若非首次报价，则报价为</w:t>
      </w:r>
      <w:r>
        <w:rPr>
          <w:rFonts w:hint="eastAsia" w:ascii="Times New Roman" w:hAnsi="Times New Roman" w:eastAsia="宋体" w:cs="Times New Roman"/>
        </w:rPr>
        <w:t>在当前价格基础上</w:t>
      </w:r>
      <w:r>
        <w:rPr>
          <w:rFonts w:hint="eastAsia" w:ascii="Times New Roman" w:hAnsi="Times New Roman" w:eastAsia="宋体" w:cs="Times New Roman"/>
          <w:lang w:val="en-US" w:eastAsia="zh-CN"/>
        </w:rPr>
        <w:t>增加</w:t>
      </w:r>
      <w:r>
        <w:rPr>
          <w:rFonts w:hint="eastAsia" w:ascii="Times New Roman" w:hAnsi="Times New Roman" w:eastAsia="宋体" w:cs="Times New Roman"/>
        </w:rPr>
        <w:t>一个竞价阶梯的报价，系统弹出确认窗口，确认后进行提交报价。</w:t>
      </w:r>
    </w:p>
    <w:p w14:paraId="539D7A44">
      <w:pPr>
        <w:numPr>
          <w:ilvl w:val="0"/>
          <w:numId w:val="2"/>
        </w:num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（2）竞价人也可以在当前价格基础上选择竞价阶梯的整倍数，并点击“提交报价”，可以使竞价人提交高于当前最高报价一个或多个竞价阶梯的报价，系统弹出确认窗口，确认后进行提交报价。</w:t>
      </w:r>
      <w:r>
        <w:rPr>
          <w:rFonts w:hint="eastAsia" w:ascii="Times New Roman" w:hAnsi="Times New Roman" w:eastAsia="宋体" w:cs="Times New Roman"/>
          <w:b/>
        </w:rPr>
        <w:t>（注：竞价人一旦提交报价，不得撤回和修改）</w:t>
      </w:r>
    </w:p>
    <w:p w14:paraId="63828B65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如下图：</w:t>
      </w:r>
    </w:p>
    <w:p w14:paraId="0A5652B0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238115" cy="2537460"/>
            <wp:effectExtent l="0" t="0" r="6985" b="2540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3D85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20</w:t>
      </w:r>
      <w:r>
        <w:fldChar w:fldCharType="end"/>
      </w:r>
      <w:r>
        <w:rPr>
          <w:rFonts w:hint="eastAsia"/>
          <w:lang w:eastAsia="zh-CN"/>
        </w:rPr>
        <w:t xml:space="preserve"> 确认报价弹窗示意图</w:t>
      </w:r>
    </w:p>
    <w:p w14:paraId="45AC1A38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竞价人可通过查看数据区内的信息，查询所有竞价人报价记录，如下图：</w:t>
      </w:r>
    </w:p>
    <w:p w14:paraId="3F71A00D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203825" cy="2712720"/>
            <wp:effectExtent l="0" t="0" r="3175" b="5080"/>
            <wp:docPr id="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87553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21</w:t>
      </w:r>
      <w:r>
        <w:fldChar w:fldCharType="end"/>
      </w:r>
      <w:r>
        <w:rPr>
          <w:rFonts w:hint="eastAsia"/>
          <w:lang w:eastAsia="zh-CN"/>
        </w:rPr>
        <w:t xml:space="preserve"> 报价记录示意图</w:t>
      </w:r>
    </w:p>
    <w:p w14:paraId="310DCF21">
      <w:pPr>
        <w:spacing w:line="360" w:lineRule="auto"/>
        <w:ind w:firstLine="42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延时竞价：</w:t>
      </w:r>
    </w:p>
    <w:p w14:paraId="31804906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自由竞价结束后进入延时竞价：在延时竞价时间内，各竞价人进行延时竞价，请竞价人注意 “延时竞价结束时间倒计时”，延时竞价周期内如出现有效报价，则进入新的延时竞价周期；在一个延时竞价周期内如未出现有效报价，则报价结束。延时竞价结束时间如下图：</w:t>
      </w:r>
    </w:p>
    <w:p w14:paraId="63CCAEC8">
      <w:pPr>
        <w:spacing w:line="360" w:lineRule="auto"/>
        <w:ind w:left="0" w:leftChars="0" w:firstLine="0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7325" cy="2524760"/>
            <wp:effectExtent l="9525" t="9525" r="19050" b="1841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385084">
      <w:pPr>
        <w:pStyle w:val="3"/>
        <w:spacing w:line="360" w:lineRule="auto"/>
        <w:ind w:left="0" w:leftChars="0" w:firstLine="0" w:firstLineChars="0"/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22</w:t>
      </w:r>
      <w:r>
        <w:fldChar w:fldCharType="end"/>
      </w:r>
      <w:r>
        <w:rPr>
          <w:rFonts w:hint="eastAsia"/>
          <w:lang w:eastAsia="zh-CN"/>
        </w:rPr>
        <w:t xml:space="preserve"> 延时竞价示意图</w:t>
      </w:r>
    </w:p>
    <w:p w14:paraId="311F937C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在竞价期间竞价人可查看下方区域数据区，查看所有报价记录信息，如下图：</w:t>
      </w:r>
    </w:p>
    <w:p w14:paraId="0712917E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241290" cy="2732405"/>
            <wp:effectExtent l="0" t="0" r="3810" b="10795"/>
            <wp:docPr id="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0876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23</w:t>
      </w:r>
      <w:r>
        <w:fldChar w:fldCharType="end"/>
      </w:r>
      <w:r>
        <w:rPr>
          <w:rFonts w:hint="eastAsia"/>
          <w:lang w:eastAsia="zh-CN"/>
        </w:rPr>
        <w:t xml:space="preserve"> 竞价报价记录信息位置示意图</w:t>
      </w:r>
    </w:p>
    <w:p w14:paraId="2CE81CAB">
      <w:pPr>
        <w:spacing w:line="360" w:lineRule="auto"/>
        <w:ind w:firstLine="420"/>
        <w:rPr>
          <w:rFonts w:ascii="Times New Roman" w:hAnsi="Times New Roman" w:eastAsia="宋体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</w:rPr>
        <w:t>行使优先权：</w:t>
      </w:r>
    </w:p>
    <w:p w14:paraId="5AD24B91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同等价格下，优先权人可在竞价期行使优先权。优先权人须按照项目公告要求及时办理注册、登记及保证金缴纳手续，方可进入竞价系统行使优先权。</w:t>
      </w:r>
    </w:p>
    <w:p w14:paraId="16BE497C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优先权竞价人可通过点击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03250" cy="226695"/>
            <wp:effectExtent l="0" t="0" r="6350" b="190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按钮，如下图：</w:t>
      </w:r>
    </w:p>
    <w:p w14:paraId="01D96A43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309235" cy="2679065"/>
            <wp:effectExtent l="0" t="0" r="12065" b="635"/>
            <wp:docPr id="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0C4B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24</w:t>
      </w:r>
      <w:r>
        <w:fldChar w:fldCharType="end"/>
      </w:r>
      <w:r>
        <w:rPr>
          <w:rFonts w:hint="eastAsia"/>
          <w:lang w:eastAsia="zh-CN"/>
        </w:rPr>
        <w:t xml:space="preserve"> 报价确认示意图</w:t>
      </w:r>
    </w:p>
    <w:p w14:paraId="33463AAF">
      <w:pPr>
        <w:spacing w:line="360" w:lineRule="auto"/>
        <w:ind w:left="0" w:leftChars="0" w:firstLine="0" w:firstLineChars="0"/>
      </w:pPr>
      <w:r>
        <w:drawing>
          <wp:inline distT="0" distB="0" distL="114300" distR="114300">
            <wp:extent cx="5335270" cy="2747645"/>
            <wp:effectExtent l="0" t="0" r="17780" b="14605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E33D">
      <w:pPr>
        <w:pStyle w:val="3"/>
        <w:spacing w:line="360" w:lineRule="auto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25</w:t>
      </w:r>
      <w:r>
        <w:fldChar w:fldCharType="end"/>
      </w:r>
      <w:r>
        <w:rPr>
          <w:rFonts w:hint="eastAsia"/>
          <w:lang w:val="en-US" w:eastAsia="zh-CN"/>
        </w:rPr>
        <w:t>行使优先权</w:t>
      </w:r>
      <w:r>
        <w:rPr>
          <w:rFonts w:hint="eastAsia"/>
          <w:lang w:eastAsia="zh-CN"/>
        </w:rPr>
        <w:t>示意图</w:t>
      </w:r>
    </w:p>
    <w:p w14:paraId="14D31D1E">
      <w:pPr>
        <w:spacing w:line="360" w:lineRule="auto"/>
        <w:ind w:firstLine="42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31825" cy="218440"/>
            <wp:effectExtent l="0" t="0" r="3175" b="1016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即以当前最高报价获得优先权。</w:t>
      </w:r>
    </w:p>
    <w:p w14:paraId="7E5C64A4">
      <w:pPr>
        <w:widowControl w:val="0"/>
        <w:spacing w:line="360" w:lineRule="auto"/>
        <w:ind w:firstLine="422" w:firstLineChars="200"/>
        <w:jc w:val="both"/>
        <w:rPr>
          <w:rFonts w:hint="eastAsia" w:ascii="Calibri" w:hAnsi="Calibri" w:eastAsia="宋体" w:cs="Times New Roman"/>
          <w:b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21"/>
          <w:szCs w:val="22"/>
          <w:lang w:val="en-US" w:eastAsia="zh-CN" w:bidi="ar-SA"/>
        </w:rPr>
        <w:t>优先权人逾期或者未按规定完成上述流程视同放弃优先权。</w:t>
      </w:r>
    </w:p>
    <w:p w14:paraId="18F50F56">
      <w:pPr>
        <w:keepNext/>
        <w:keepLines/>
        <w:widowControl/>
        <w:numPr>
          <w:ilvl w:val="0"/>
          <w:numId w:val="1"/>
        </w:numPr>
        <w:spacing w:before="120" w:after="120" w:line="360" w:lineRule="auto"/>
        <w:ind w:left="432" w:leftChars="0" w:hanging="432" w:firstLineChars="0"/>
        <w:jc w:val="left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</w:pPr>
      <w:bookmarkStart w:id="11" w:name="_Toc12716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  <w:t>成交确认书领取</w:t>
      </w:r>
      <w:bookmarkEnd w:id="11"/>
    </w:p>
    <w:p w14:paraId="1E9F26CD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2" w:name="_Toc12338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成交确认书预览</w:t>
      </w:r>
      <w:bookmarkEnd w:id="12"/>
    </w:p>
    <w:p w14:paraId="4BBF1AB9">
      <w:pPr>
        <w:widowControl w:val="0"/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成交人登录电子交易系统，进入中标项目工作台，点击“中标通知书”菜单进行预览，可预览中标通知书和对应的缴款通知单；</w:t>
      </w:r>
    </w:p>
    <w:p w14:paraId="748C9029">
      <w:pPr>
        <w:spacing w:line="360" w:lineRule="auto"/>
      </w:pPr>
      <w:r>
        <w:drawing>
          <wp:inline distT="0" distB="0" distL="114300" distR="114300">
            <wp:extent cx="5279390" cy="2391410"/>
            <wp:effectExtent l="0" t="0" r="3810" b="889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AC31">
      <w:pPr>
        <w:pStyle w:val="3"/>
        <w:spacing w:line="360" w:lineRule="auto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26</w:t>
      </w:r>
      <w:r>
        <w:fldChar w:fldCharType="end"/>
      </w:r>
      <w:r>
        <w:rPr>
          <w:rFonts w:hint="eastAsia"/>
          <w:lang w:eastAsia="zh-CN"/>
        </w:rPr>
        <w:t>中标通知书位置示意图</w:t>
      </w:r>
    </w:p>
    <w:p w14:paraId="453D6EE5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3" w:name="_Toc7099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成交确认书下载</w:t>
      </w:r>
      <w:bookmarkEnd w:id="13"/>
    </w:p>
    <w:p w14:paraId="3B1DBA40"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选择打印或导出为pdf即可保存到本地。</w:t>
      </w:r>
    </w:p>
    <w:p w14:paraId="0FD4A44E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98745" cy="2259330"/>
            <wp:effectExtent l="0" t="0" r="8255" b="1270"/>
            <wp:docPr id="1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01C53F">
      <w:pPr>
        <w:pStyle w:val="3"/>
        <w:spacing w:line="360" w:lineRule="auto"/>
        <w:jc w:val="center"/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27</w:t>
      </w:r>
      <w:r>
        <w:fldChar w:fldCharType="end"/>
      </w:r>
      <w:r>
        <w:rPr>
          <w:rFonts w:hint="eastAsia"/>
          <w:lang w:eastAsia="zh-CN"/>
        </w:rPr>
        <w:t xml:space="preserve"> 下载和打印页面示意图</w:t>
      </w:r>
    </w:p>
    <w:p w14:paraId="4F199D19">
      <w:pPr>
        <w:keepNext/>
        <w:keepLines/>
        <w:widowControl/>
        <w:numPr>
          <w:ilvl w:val="0"/>
          <w:numId w:val="1"/>
        </w:numPr>
        <w:spacing w:before="120" w:after="120" w:line="360" w:lineRule="auto"/>
        <w:ind w:left="432" w:leftChars="0" w:hanging="432" w:firstLineChars="0"/>
        <w:jc w:val="left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</w:pPr>
      <w:bookmarkStart w:id="14" w:name="_Toc23104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44"/>
          <w:lang w:val="en-US" w:eastAsia="zh-CN" w:bidi="ar-SA"/>
        </w:rPr>
        <w:t>竞价模拟</w:t>
      </w:r>
      <w:bookmarkEnd w:id="14"/>
    </w:p>
    <w:p w14:paraId="17BF4B0A">
      <w:pPr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正式系统提供两种竞价方式的模拟项目，供竞价单位模拟竞价过程。</w:t>
      </w:r>
    </w:p>
    <w:p w14:paraId="0E78B2B8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5" w:name="_Toc14340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一次性竞价</w:t>
      </w:r>
      <w:bookmarkEnd w:id="15"/>
    </w:p>
    <w:p w14:paraId="1859D9B8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标的编号：2026HDWNA50021</w:t>
      </w:r>
    </w:p>
    <w:p w14:paraId="402FBD5E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标的名称：【测试勿删】一次性竞价模拟</w:t>
      </w:r>
    </w:p>
    <w:p w14:paraId="7812FB8F">
      <w:pPr>
        <w:spacing w:line="360" w:lineRule="auto"/>
      </w:pPr>
      <w:r>
        <w:drawing>
          <wp:inline distT="0" distB="0" distL="114300" distR="114300">
            <wp:extent cx="5257800" cy="1668780"/>
            <wp:effectExtent l="9525" t="9525" r="15875" b="10795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68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4B921D">
      <w:pPr>
        <w:pStyle w:val="3"/>
        <w:spacing w:line="360" w:lineRule="auto"/>
        <w:jc w:val="center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28</w:t>
      </w:r>
      <w:r>
        <w:fldChar w:fldCharType="end"/>
      </w:r>
      <w:r>
        <w:rPr>
          <w:rFonts w:hint="eastAsia"/>
          <w:lang w:eastAsia="zh-CN"/>
        </w:rPr>
        <w:t xml:space="preserve"> 模拟标</w:t>
      </w:r>
      <w:r>
        <w:rPr>
          <w:rFonts w:hint="eastAsia"/>
          <w:lang w:val="en-US" w:eastAsia="zh-CN"/>
        </w:rPr>
        <w:t>的</w:t>
      </w:r>
      <w:r>
        <w:rPr>
          <w:rFonts w:hint="eastAsia"/>
          <w:lang w:eastAsia="zh-CN"/>
        </w:rPr>
        <w:t>信息示意图</w:t>
      </w:r>
    </w:p>
    <w:p w14:paraId="06E7395F">
      <w:pPr>
        <w:keepNext/>
        <w:keepLines/>
        <w:widowControl/>
        <w:numPr>
          <w:ilvl w:val="1"/>
          <w:numId w:val="1"/>
        </w:numPr>
        <w:bidi w:val="0"/>
        <w:spacing w:before="120" w:after="120" w:line="360" w:lineRule="auto"/>
        <w:ind w:left="576" w:leftChars="0" w:hanging="576" w:firstLineChars="0"/>
        <w:jc w:val="left"/>
        <w:outlineLvl w:val="1"/>
        <w:rPr>
          <w:rFonts w:hint="default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</w:pPr>
      <w:bookmarkStart w:id="16" w:name="_Toc15537"/>
      <w:r>
        <w:rPr>
          <w:rFonts w:hint="eastAsia" w:ascii="Times New Roman" w:hAnsi="Times New Roman" w:eastAsia="宋体" w:cs="Times New Roman"/>
          <w:b/>
          <w:bCs/>
          <w:kern w:val="2"/>
          <w:sz w:val="30"/>
          <w:szCs w:val="32"/>
          <w:lang w:val="en-US" w:eastAsia="zh-CN" w:bidi="ar-SA"/>
        </w:rPr>
        <w:t>连续竞价</w:t>
      </w:r>
      <w:bookmarkEnd w:id="16"/>
    </w:p>
    <w:p w14:paraId="7E2974F9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标的编号：2026HDWNA50022</w:t>
      </w:r>
    </w:p>
    <w:p w14:paraId="0C687067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标的名称：【测试勿删】连续竞价模拟</w:t>
      </w:r>
    </w:p>
    <w:p w14:paraId="303CCAC3">
      <w:pPr>
        <w:spacing w:line="360" w:lineRule="auto"/>
      </w:pPr>
      <w:r>
        <w:drawing>
          <wp:inline distT="0" distB="0" distL="114300" distR="114300">
            <wp:extent cx="5269865" cy="1703705"/>
            <wp:effectExtent l="9525" t="9525" r="16510" b="1397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0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86B505">
      <w:pPr>
        <w:pStyle w:val="3"/>
        <w:spacing w:line="360" w:lineRule="auto"/>
        <w:jc w:val="center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29</w:t>
      </w:r>
      <w:r>
        <w:fldChar w:fldCharType="end"/>
      </w:r>
      <w:r>
        <w:rPr>
          <w:rFonts w:hint="eastAsia"/>
          <w:lang w:eastAsia="zh-CN"/>
        </w:rPr>
        <w:t xml:space="preserve"> 模拟标</w:t>
      </w:r>
      <w:r>
        <w:rPr>
          <w:rFonts w:hint="eastAsia"/>
          <w:lang w:val="en-US" w:eastAsia="zh-CN"/>
        </w:rPr>
        <w:t>的信息</w:t>
      </w:r>
      <w:r>
        <w:rPr>
          <w:rFonts w:hint="eastAsia"/>
          <w:lang w:eastAsia="zh-CN"/>
        </w:rPr>
        <w:t>示意图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3B540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 w14:paraId="01CADD72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D36E2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11D3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911D3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7A28236C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F17C8">
    <w:pPr>
      <w:widowControl w:val="0"/>
      <w:pBdr>
        <w:bottom w:val="none" w:color="auto" w:sz="0" w:space="1"/>
      </w:pBdr>
      <w:tabs>
        <w:tab w:val="center" w:pos="4153"/>
        <w:tab w:val="right" w:pos="8306"/>
      </w:tabs>
      <w:snapToGrid w:val="0"/>
      <w:jc w:val="both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185C4"/>
    <w:multiLevelType w:val="multilevel"/>
    <w:tmpl w:val="C58185C4"/>
    <w:lvl w:ilvl="0" w:tentative="0">
      <w:start w:val="1"/>
      <w:numFmt w:val="chineseCountingThousand"/>
      <w:suff w:val="nothing"/>
      <w:lvlText w:val="%1、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576" w:hanging="576"/>
      </w:pPr>
      <w:rPr>
        <w:rFonts w:hint="eastAsia" w:ascii="宋体" w:hAnsi="宋体" w:eastAsia="宋体" w:cs="宋体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 "/>
      <w:lvlJc w:val="left"/>
      <w:pPr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isLgl/>
      <w:lvlText w:val="%1.%2.%3.%4.%5 "/>
      <w:lvlJc w:val="left"/>
      <w:pPr>
        <w:ind w:left="1008" w:hanging="1008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lvlText w:val="%1.%2.%3.%4.%5.%6、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468E6C9"/>
    <w:multiLevelType w:val="singleLevel"/>
    <w:tmpl w:val="6468E6C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NWM3MTE0N2M2MjdiNDE3YjQwNWZmMTRmYjljMGMifQ=="/>
  </w:docVars>
  <w:rsids>
    <w:rsidRoot w:val="77BE1DDF"/>
    <w:rsid w:val="00D1549E"/>
    <w:rsid w:val="02A12F56"/>
    <w:rsid w:val="0490450B"/>
    <w:rsid w:val="070C6283"/>
    <w:rsid w:val="161A4746"/>
    <w:rsid w:val="1856495D"/>
    <w:rsid w:val="1AEB2FCE"/>
    <w:rsid w:val="1E1534AD"/>
    <w:rsid w:val="20515666"/>
    <w:rsid w:val="29312EC9"/>
    <w:rsid w:val="34B4384D"/>
    <w:rsid w:val="35D02246"/>
    <w:rsid w:val="3ED40106"/>
    <w:rsid w:val="3EDB0FBE"/>
    <w:rsid w:val="40F25D62"/>
    <w:rsid w:val="422864FB"/>
    <w:rsid w:val="438E092F"/>
    <w:rsid w:val="447334B4"/>
    <w:rsid w:val="4A8C0793"/>
    <w:rsid w:val="4BE42FC4"/>
    <w:rsid w:val="5C210B18"/>
    <w:rsid w:val="5DC85AD4"/>
    <w:rsid w:val="5DF15D25"/>
    <w:rsid w:val="6198332B"/>
    <w:rsid w:val="61B10532"/>
    <w:rsid w:val="63330FFD"/>
    <w:rsid w:val="638A40CA"/>
    <w:rsid w:val="650765BE"/>
    <w:rsid w:val="731C4C46"/>
    <w:rsid w:val="77BE1DDF"/>
    <w:rsid w:val="7DCE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next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toc 2"/>
    <w:next w:val="1"/>
    <w:qFormat/>
    <w:uiPriority w:val="0"/>
    <w:pPr>
      <w:widowControl w:val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footer" Target="footer1.xml"/><Relationship Id="rId39" Type="http://schemas.openxmlformats.org/officeDocument/2006/relationships/customXml" Target="../customXml/item1.xml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2054</Words>
  <Characters>2271</Characters>
  <Lines>0</Lines>
  <Paragraphs>0</Paragraphs>
  <TotalTime>0</TotalTime>
  <ScaleCrop>false</ScaleCrop>
  <LinksUpToDate>false</LinksUpToDate>
  <CharactersWithSpaces>2366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2026-04-27T01:12:00Z</dcterms:created>
  <dc:creator>Saturn</dc:creator>
  <cp:lastModifiedBy>Saturn</cp:lastModifiedBy>
  <dcterms:modified xsi:type="dcterms:W3CDTF">2026-04-27T08:05:59Z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EAF43D7DE1CC4B808B353F415AF71B47_11</vt:lpwstr>
  </property>
  <property fmtid="{D5CDD505-2E9C-101B-9397-08002B2CF9AE}" pid="4" name="KSOTemplateDocerSaveRecord">
    <vt:lpwstr>eyJoZGlkIjoiNjllMTM0NDUxODIwODI5M2EzMTk2MGE4ZWRiYTU2NjUiLCJ1c2VySWQiOiI1MTIyOTI0ODYifQ==</vt:lpwstr>
  </property>
</Properties>
</file>